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15868A" w14:textId="77777777" w:rsidR="00E31AB6" w:rsidRDefault="00E31AB6" w:rsidP="00E31AB6">
      <w:pPr>
        <w:jc w:val="center"/>
        <w:rPr>
          <w:b/>
          <w:bCs/>
        </w:rPr>
      </w:pPr>
    </w:p>
    <w:p w14:paraId="03D6E4EA" w14:textId="7F344A5B" w:rsidR="00E31AB6" w:rsidRPr="00E31AB6" w:rsidRDefault="00E31AB6" w:rsidP="00E31AB6">
      <w:pPr>
        <w:jc w:val="center"/>
        <w:rPr>
          <w:b/>
          <w:bCs/>
        </w:rPr>
      </w:pPr>
      <w:r w:rsidRPr="00E31AB6">
        <w:rPr>
          <w:b/>
          <w:bCs/>
        </w:rPr>
        <w:t>EIXOS TEMÁTICOS</w:t>
      </w:r>
    </w:p>
    <w:p w14:paraId="56235B4C" w14:textId="77777777" w:rsidR="00E31AB6" w:rsidRDefault="00E31AB6" w:rsidP="00E31AB6">
      <w:pPr>
        <w:jc w:val="both"/>
      </w:pPr>
    </w:p>
    <w:p w14:paraId="311BD936" w14:textId="77777777" w:rsidR="00E31AB6" w:rsidRDefault="00E31AB6" w:rsidP="00E31AB6">
      <w:pPr>
        <w:jc w:val="both"/>
      </w:pPr>
    </w:p>
    <w:p w14:paraId="1BF93930" w14:textId="1CE8B2CE" w:rsidR="00E31AB6" w:rsidRDefault="00E31AB6" w:rsidP="00E31AB6">
      <w:pPr>
        <w:jc w:val="both"/>
      </w:pPr>
      <w:r w:rsidRPr="00E31AB6">
        <w:rPr>
          <w:b/>
          <w:bCs/>
        </w:rPr>
        <w:t>Eixo 1:</w:t>
      </w:r>
      <w:r w:rsidRPr="00E31AB6">
        <w:t xml:space="preserve"> Proteção e recuperação dos recursos hídricos: Estratégias de conservação de rios, córregos, lagos e nascentes, incluindo áreas de preservação permanente, matas ciliares, fundos de vale, áreas de recarga.</w:t>
      </w:r>
    </w:p>
    <w:p w14:paraId="62B6AFA9" w14:textId="77777777" w:rsidR="00E31AB6" w:rsidRDefault="00E31AB6" w:rsidP="00E31AB6">
      <w:pPr>
        <w:jc w:val="both"/>
      </w:pPr>
    </w:p>
    <w:p w14:paraId="162779BF" w14:textId="77777777" w:rsidR="00E31AB6" w:rsidRDefault="00E31AB6" w:rsidP="00E31AB6">
      <w:pPr>
        <w:jc w:val="both"/>
      </w:pPr>
      <w:r w:rsidRPr="00E31AB6">
        <w:rPr>
          <w:b/>
          <w:bCs/>
        </w:rPr>
        <w:t xml:space="preserve"> Eixo 2: </w:t>
      </w:r>
      <w:r w:rsidRPr="00E31AB6">
        <w:t>Gestão sustentável da água e saneamento ambiental: Uso racional da água, abastecimento, tratamento de esgoto, drenagem urbana, controle de poluição, manejo de resíduos sólidos e melhoria da qualidade da água para a população.</w:t>
      </w:r>
    </w:p>
    <w:p w14:paraId="6B597ED6" w14:textId="77777777" w:rsidR="00E31AB6" w:rsidRDefault="00E31AB6" w:rsidP="00E31AB6">
      <w:pPr>
        <w:jc w:val="both"/>
      </w:pPr>
    </w:p>
    <w:p w14:paraId="2089D9F5" w14:textId="5D6536AE" w:rsidR="00BD1647" w:rsidRDefault="00E31AB6" w:rsidP="00E31AB6">
      <w:pPr>
        <w:jc w:val="both"/>
      </w:pPr>
      <w:r w:rsidRPr="00E31AB6">
        <w:rPr>
          <w:b/>
          <w:bCs/>
        </w:rPr>
        <w:t xml:space="preserve"> Eixo 3:</w:t>
      </w:r>
      <w:r w:rsidRPr="00E31AB6">
        <w:t xml:space="preserve"> Educação ambiental e controle social na gestão da água: Sensibilização, mobilização comunitária e participação da sociedade na formulação e acompanhamento das políticas públicas ligadas à água, com debate sobre transparência </w:t>
      </w:r>
      <w:r w:rsidRPr="00E31AB6">
        <w:t>e fiscalização</w:t>
      </w:r>
      <w:r w:rsidRPr="00E31AB6">
        <w:t xml:space="preserve"> das propostas da conferência e o fortalecimento dos espaços de controle social.</w:t>
      </w:r>
    </w:p>
    <w:sectPr w:rsidR="00BD1647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972719" w14:textId="77777777" w:rsidR="0004621C" w:rsidRDefault="0004621C" w:rsidP="00E31AB6">
      <w:pPr>
        <w:spacing w:after="0" w:line="240" w:lineRule="auto"/>
      </w:pPr>
      <w:r>
        <w:separator/>
      </w:r>
    </w:p>
  </w:endnote>
  <w:endnote w:type="continuationSeparator" w:id="0">
    <w:p w14:paraId="3BA4765F" w14:textId="77777777" w:rsidR="0004621C" w:rsidRDefault="0004621C" w:rsidP="00E31A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23207" w14:textId="77777777" w:rsidR="0004621C" w:rsidRDefault="0004621C" w:rsidP="00E31AB6">
      <w:pPr>
        <w:spacing w:after="0" w:line="240" w:lineRule="auto"/>
      </w:pPr>
      <w:r>
        <w:separator/>
      </w:r>
    </w:p>
  </w:footnote>
  <w:footnote w:type="continuationSeparator" w:id="0">
    <w:p w14:paraId="15709CCD" w14:textId="77777777" w:rsidR="0004621C" w:rsidRDefault="0004621C" w:rsidP="00E31A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E8B437" w14:textId="582C91C4" w:rsidR="00E31AB6" w:rsidRDefault="00E31AB6" w:rsidP="00E31AB6">
    <w:pPr>
      <w:pStyle w:val="Cabealho"/>
      <w:jc w:val="center"/>
    </w:pPr>
    <w:r>
      <w:rPr>
        <w:noProof/>
      </w:rPr>
      <w:drawing>
        <wp:inline distT="0" distB="0" distL="0" distR="0" wp14:anchorId="6091FB7E" wp14:editId="4B74BABC">
          <wp:extent cx="2371725" cy="1028700"/>
          <wp:effectExtent l="0" t="0" r="9525" b="0"/>
          <wp:docPr id="1664702452" name="Imagem 1" descr="logo consem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consem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1028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1AB6"/>
    <w:rsid w:val="0004621C"/>
    <w:rsid w:val="00220DBA"/>
    <w:rsid w:val="00360F1D"/>
    <w:rsid w:val="0082487C"/>
    <w:rsid w:val="00B23AA5"/>
    <w:rsid w:val="00BD1647"/>
    <w:rsid w:val="00E31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AC59ED"/>
  <w15:chartTrackingRefBased/>
  <w15:docId w15:val="{5098A6FA-F54E-47E1-8529-356BC096A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E31A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31A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31AB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E31A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E31AB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E31A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E31A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E31A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E31A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E31AB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31AB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E31AB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E31AB6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E31AB6"/>
    <w:rPr>
      <w:rFonts w:eastAsiaTheme="majorEastAsia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E31AB6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E31AB6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E31AB6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E31AB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E31A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E31A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E31A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E31A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E31A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E31AB6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E31AB6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E31AB6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E31AB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E31AB6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E31AB6"/>
    <w:rPr>
      <w:b/>
      <w:bCs/>
      <w:smallCaps/>
      <w:color w:val="2F5496" w:themeColor="accent1" w:themeShade="BF"/>
      <w:spacing w:val="5"/>
    </w:rPr>
  </w:style>
  <w:style w:type="paragraph" w:styleId="Cabealho">
    <w:name w:val="header"/>
    <w:basedOn w:val="Normal"/>
    <w:link w:val="CabealhoChar"/>
    <w:uiPriority w:val="99"/>
    <w:unhideWhenUsed/>
    <w:rsid w:val="00E31AB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31AB6"/>
  </w:style>
  <w:style w:type="paragraph" w:styleId="Rodap">
    <w:name w:val="footer"/>
    <w:basedOn w:val="Normal"/>
    <w:link w:val="RodapChar"/>
    <w:uiPriority w:val="99"/>
    <w:unhideWhenUsed/>
    <w:rsid w:val="00E31AB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31A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124</Words>
  <Characters>673</Characters>
  <Application>Microsoft Office Word</Application>
  <DocSecurity>0</DocSecurity>
  <Lines>5</Lines>
  <Paragraphs>1</Paragraphs>
  <ScaleCrop>false</ScaleCrop>
  <Company/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Graziella Santana Damante - matr 15.421-0</dc:creator>
  <cp:keywords/>
  <dc:description/>
  <cp:lastModifiedBy>Graziella Santana Damante - matr 15.421-0</cp:lastModifiedBy>
  <cp:revision>2</cp:revision>
  <dcterms:created xsi:type="dcterms:W3CDTF">2026-04-17T14:38:00Z</dcterms:created>
  <dcterms:modified xsi:type="dcterms:W3CDTF">2026-04-17T14:41:00Z</dcterms:modified>
</cp:coreProperties>
</file>