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theme/theme1.xml" ContentType="application/vnd.openxmlformats-officedocument.theme+xml"/>
  <Override PartName="/word/header1.xml" ContentType="application/vnd.openxmlformats-officedocument.wordprocessingml.header+xml"/>
  <Override PartName="/word/media/image1.png" ContentType="image/png"/>
  <Override PartName="/word/media/image2.png" ContentType="image/pn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_rels/document.xml.rels" ContentType="application/vnd.openxmlformats-package.relationships+xml"/>
  <Override PartName="/word/_rels/header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Corpodotexto"/>
        <w:shd w:val="clear" w:color="auto" w:fill="FFFFFF"/>
        <w:jc w:val="center"/>
        <w:rPr/>
      </w:pPr>
      <w:r>
        <w:rPr>
          <w:rStyle w:val="Nfaseforte"/>
          <w:rFonts w:eastAsia="Calibri" w:cs="Calibri" w:ascii="Times New Roman" w:hAnsi="Times New Roman"/>
          <w:color w:val="000000"/>
          <w:sz w:val="26"/>
          <w:szCs w:val="24"/>
        </w:rPr>
        <w:t xml:space="preserve">CHAMAMENTO PÚBLICO </w:t>
      </w:r>
      <w:r>
        <w:rPr>
          <w:rStyle w:val="Nfaseforte"/>
          <w:rFonts w:eastAsia="Calibri" w:cs="Calibri" w:ascii="Times New Roman" w:hAnsi="Times New Roman"/>
          <w:color w:val="000000"/>
          <w:sz w:val="26"/>
          <w:szCs w:val="24"/>
        </w:rPr>
        <w:t xml:space="preserve">PNAB </w:t>
      </w:r>
      <w:r>
        <w:rPr>
          <w:rStyle w:val="Nfaseforte"/>
          <w:rFonts w:eastAsia="Calibri" w:cs="Calibri" w:ascii="Times New Roman" w:hAnsi="Times New Roman"/>
          <w:color w:val="000000"/>
          <w:sz w:val="26"/>
          <w:szCs w:val="24"/>
        </w:rPr>
        <w:t xml:space="preserve">Nº </w:t>
      </w:r>
      <w:r>
        <w:rPr>
          <w:rStyle w:val="Nfaseforte"/>
          <w:rFonts w:eastAsia="Calibri" w:cs="Calibri" w:ascii="Times New Roman" w:hAnsi="Times New Roman"/>
          <w:color w:val="000000"/>
          <w:sz w:val="26"/>
          <w:szCs w:val="24"/>
        </w:rPr>
        <w:t>002/2024 P</w:t>
      </w:r>
      <w:r>
        <w:rPr>
          <w:rStyle w:val="Nfaseforte"/>
          <w:rFonts w:eastAsia="Calibri" w:cs="Calibri" w:ascii="Times New Roman" w:hAnsi="Times New Roman"/>
          <w:color w:val="000000"/>
          <w:sz w:val="26"/>
          <w:szCs w:val="24"/>
        </w:rPr>
        <w:t>ARA FOMENTO À REDE MUNICIPAL DE PONTOS DE CULTURA DE LONDRINA</w:t>
      </w:r>
    </w:p>
    <w:p>
      <w:pPr>
        <w:pStyle w:val="Corpodotexto"/>
        <w:spacing w:before="96" w:after="96"/>
        <w:ind w:left="96" w:right="96" w:hanging="0"/>
        <w:jc w:val="center"/>
        <w:rPr/>
      </w:pPr>
      <w:r>
        <w:rPr>
          <w:rStyle w:val="Nfaseforte"/>
          <w:rFonts w:ascii="Times New Roman" w:hAnsi="Times New Roman"/>
          <w:color w:val="000000"/>
          <w:sz w:val="26"/>
        </w:rPr>
        <w:t>Política Nacional Aldir Blanc 2024</w:t>
      </w:r>
    </w:p>
    <w:p>
      <w:pPr>
        <w:pStyle w:val="Corpodotexto"/>
        <w:spacing w:before="96" w:after="96"/>
        <w:ind w:left="96" w:right="96" w:hanging="0"/>
        <w:jc w:val="center"/>
        <w:rPr>
          <w:color w:val="000000"/>
        </w:rPr>
      </w:pPr>
      <w:r>
        <w:rPr>
          <w:color w:val="000000"/>
        </w:rPr>
      </w:r>
    </w:p>
    <w:p>
      <w:pPr>
        <w:pStyle w:val="Corpodotexto"/>
        <w:spacing w:before="120" w:after="0"/>
        <w:ind w:left="120" w:right="120" w:hanging="0"/>
        <w:jc w:val="center"/>
        <w:rPr/>
      </w:pPr>
      <w:r>
        <w:rPr>
          <w:rFonts w:ascii="Times New Roman" w:hAnsi="Times New Roman"/>
          <w:b/>
          <w:color w:val="000000"/>
          <w:sz w:val="26"/>
        </w:rPr>
        <w:t>CULTURA VIVA DO TAMANHO DO BRASIL!</w:t>
      </w:r>
    </w:p>
    <w:p>
      <w:pPr>
        <w:pStyle w:val="Normal"/>
        <w:shd w:val="clear" w:color="auto" w:fill="FFFFFF"/>
        <w:jc w:val="center"/>
        <w:rPr>
          <w:rFonts w:ascii="Times New Roman" w:hAnsi="Times New Roman"/>
          <w:b/>
          <w:b/>
          <w:color w:val="000000"/>
          <w:sz w:val="26"/>
        </w:rPr>
      </w:pPr>
      <w:r>
        <w:rPr>
          <w:rFonts w:eastAsia="Calibri" w:cs="Calibri" w:ascii="Times New Roman" w:hAnsi="Times New Roman"/>
          <w:b/>
          <w:color w:val="000000"/>
          <w:sz w:val="26"/>
          <w:szCs w:val="24"/>
        </w:rPr>
        <w:t>PREMIAÇÃO DE PONTOS DE CULTURA</w:t>
      </w:r>
    </w:p>
    <w:p>
      <w:pPr>
        <w:pStyle w:val="Normal"/>
        <w:shd w:val="clear" w:color="auto" w:fill="FFFFFF"/>
        <w:spacing w:lineRule="auto" w:line="240"/>
        <w:jc w:val="center"/>
        <w:rPr>
          <w:rFonts w:ascii="Calibri" w:hAnsi="Calibri" w:eastAsia="Calibri" w:cs="Calibri"/>
          <w:sz w:val="24"/>
          <w:szCs w:val="24"/>
        </w:rPr>
      </w:pPr>
      <w:r>
        <w:rPr>
          <w:rFonts w:eastAsia="Calibri" w:cs="Calibri" w:ascii="Calibri" w:hAnsi="Calibri"/>
          <w:sz w:val="24"/>
          <w:szCs w:val="24"/>
        </w:rPr>
      </w:r>
    </w:p>
    <w:p>
      <w:pPr>
        <w:pStyle w:val="Normal"/>
        <w:tabs>
          <w:tab w:val="clear" w:pos="720"/>
          <w:tab w:val="center" w:pos="0" w:leader="none"/>
        </w:tabs>
        <w:spacing w:lineRule="auto" w:line="240" w:before="120" w:after="120"/>
        <w:jc w:val="center"/>
        <w:rPr>
          <w:rFonts w:ascii="Calibri" w:hAnsi="Calibri" w:eastAsia="Calibri" w:cs="Calibri"/>
          <w:b/>
          <w:b/>
          <w:sz w:val="24"/>
          <w:szCs w:val="24"/>
          <w:u w:val="single"/>
        </w:rPr>
      </w:pPr>
      <w:r>
        <w:rPr>
          <w:rFonts w:eastAsia="Calibri" w:cs="Calibri" w:ascii="Calibri" w:hAnsi="Calibri"/>
          <w:b/>
          <w:sz w:val="24"/>
          <w:szCs w:val="24"/>
          <w:u w:val="single"/>
        </w:rPr>
        <w:t>ANEXO 01 - CATEGORIAS E COTAS</w:t>
      </w:r>
    </w:p>
    <w:p>
      <w:pPr>
        <w:pStyle w:val="Normal"/>
        <w:tabs>
          <w:tab w:val="clear" w:pos="720"/>
          <w:tab w:val="center" w:pos="0" w:leader="none"/>
        </w:tabs>
        <w:spacing w:lineRule="auto" w:line="240" w:before="0" w:after="120"/>
        <w:jc w:val="both"/>
        <w:rPr>
          <w:rFonts w:ascii="Calibri" w:hAnsi="Calibri" w:eastAsia="Calibri" w:cs="Calibri"/>
          <w:b/>
          <w:b/>
          <w:sz w:val="24"/>
          <w:szCs w:val="24"/>
          <w:highlight w:val="yellow"/>
        </w:rPr>
      </w:pPr>
      <w:r>
        <w:rPr>
          <w:rFonts w:eastAsia="Calibri" w:cs="Calibri" w:ascii="Calibri" w:hAnsi="Calibri"/>
          <w:b/>
          <w:sz w:val="24"/>
          <w:szCs w:val="24"/>
          <w:highlight w:val="yellow"/>
        </w:rPr>
      </w:r>
    </w:p>
    <w:p>
      <w:pPr>
        <w:pStyle w:val="Normal"/>
        <w:tabs>
          <w:tab w:val="clear" w:pos="720"/>
          <w:tab w:val="center" w:pos="0" w:leader="none"/>
        </w:tabs>
        <w:spacing w:lineRule="auto" w:line="240" w:before="0" w:after="120"/>
        <w:jc w:val="both"/>
        <w:rPr>
          <w:color w:val="auto"/>
        </w:rPr>
      </w:pPr>
      <w:r>
        <w:rPr>
          <w:rFonts w:eastAsia="Calibri" w:cs="Calibri" w:ascii="Calibri" w:hAnsi="Calibri"/>
          <w:b/>
          <w:color w:val="auto"/>
          <w:sz w:val="24"/>
          <w:szCs w:val="24"/>
          <w:u w:val="single"/>
        </w:rPr>
        <w:t>CATEGORIAS</w:t>
      </w:r>
    </w:p>
    <w:p>
      <w:pPr>
        <w:pStyle w:val="Corpodotexto"/>
        <w:spacing w:lineRule="atLeast" w:line="192"/>
        <w:rPr/>
      </w:pPr>
      <w:r>
        <w:rPr>
          <w:rStyle w:val="Nfaseforte"/>
          <w:rFonts w:ascii="Times New Roman" w:hAnsi="Times New Roman"/>
          <w:b w:val="false"/>
          <w:color w:val="000000"/>
          <w:sz w:val="28"/>
          <w:highlight w:val="white"/>
        </w:rPr>
        <w:t>I - Culturas Populares e Tradicionais:</w:t>
      </w:r>
      <w:r>
        <w:rPr>
          <w:rFonts w:ascii="Times New Roman" w:hAnsi="Times New Roman"/>
          <w:color w:val="000000"/>
          <w:sz w:val="28"/>
          <w:highlight w:val="white"/>
        </w:rPr>
        <w:t> deverão ser selecionados, no mínimo, 30% (trinta por cento) de projetos apresentados por entidades com trajetória declarada e comprovadamente ligadas às culturas populares e tradicionais, e que tenham seus planos de trabalho também com ações voltadas ao segmento. </w:t>
      </w:r>
    </w:p>
    <w:p>
      <w:pPr>
        <w:pStyle w:val="Corpodotexto"/>
        <w:spacing w:lineRule="atLeast" w:line="192"/>
        <w:rPr/>
      </w:pPr>
      <w:r>
        <w:rPr>
          <w:rStyle w:val="Nfaseforte"/>
          <w:rFonts w:ascii="Times New Roman" w:hAnsi="Times New Roman"/>
          <w:b w:val="false"/>
          <w:color w:val="000000"/>
          <w:sz w:val="28"/>
        </w:rPr>
        <w:t>II - Desconcentração Territoral e Regionalização: </w:t>
      </w:r>
      <w:r>
        <w:rPr>
          <w:rFonts w:ascii="Times New Roman" w:hAnsi="Times New Roman"/>
          <w:color w:val="000000"/>
          <w:sz w:val="28"/>
        </w:rPr>
        <w:t>Visando à desconcentração territorial e à regionalização, 20% dos projetos deverão prever ações de incentivo direto a programas, a projetos e a ações de democratização do acesso à fruição e à produção artística e cultural em áreas periféricas, urbanas e rurais, e em territórios e regiões de maior vulnerabilidade econômica ou social, bem como em áreas de povos e comunidades tradicionais, conforme art. 6, II, da PNAB, quais sejam:</w:t>
      </w:r>
    </w:p>
    <w:p>
      <w:pPr>
        <w:pStyle w:val="Corpodotexto"/>
        <w:numPr>
          <w:ilvl w:val="0"/>
          <w:numId w:val="1"/>
        </w:numPr>
        <w:tabs>
          <w:tab w:val="clear" w:pos="720"/>
          <w:tab w:val="left" w:pos="0" w:leader="none"/>
        </w:tabs>
        <w:spacing w:lineRule="atLeast" w:line="192" w:before="0" w:after="0"/>
        <w:rPr/>
      </w:pPr>
      <w:r>
        <w:rPr>
          <w:rFonts w:ascii="Times New Roman" w:hAnsi="Times New Roman"/>
          <w:color w:val="000000"/>
          <w:sz w:val="28"/>
        </w:rPr>
        <w:t>regiões periféricas;</w:t>
      </w:r>
    </w:p>
    <w:p>
      <w:pPr>
        <w:pStyle w:val="Corpodotexto"/>
        <w:numPr>
          <w:ilvl w:val="0"/>
          <w:numId w:val="1"/>
        </w:numPr>
        <w:tabs>
          <w:tab w:val="clear" w:pos="720"/>
          <w:tab w:val="left" w:pos="0" w:leader="none"/>
        </w:tabs>
        <w:spacing w:lineRule="atLeast" w:line="192" w:before="0" w:after="0"/>
        <w:rPr/>
      </w:pPr>
      <w:r>
        <w:rPr>
          <w:rFonts w:ascii="Times New Roman" w:hAnsi="Times New Roman"/>
          <w:color w:val="000000"/>
          <w:sz w:val="28"/>
        </w:rPr>
        <w:t>regiões com menor Índice de Desenvolvimento Humano - IDH;</w:t>
      </w:r>
    </w:p>
    <w:p>
      <w:pPr>
        <w:pStyle w:val="Corpodotexto"/>
        <w:numPr>
          <w:ilvl w:val="0"/>
          <w:numId w:val="1"/>
        </w:numPr>
        <w:tabs>
          <w:tab w:val="clear" w:pos="720"/>
          <w:tab w:val="left" w:pos="0" w:leader="none"/>
        </w:tabs>
        <w:spacing w:lineRule="atLeast" w:line="192" w:before="0" w:after="0"/>
        <w:rPr/>
      </w:pPr>
      <w:r>
        <w:rPr>
          <w:rFonts w:ascii="Times New Roman" w:hAnsi="Times New Roman"/>
          <w:color w:val="000000"/>
          <w:sz w:val="28"/>
        </w:rPr>
        <w:t>regiões onde são localizados conjuntos e empreendimentos habitacionais, e programas habitacionais de interesse social, promovidos por programas do governo federal ou local;</w:t>
      </w:r>
    </w:p>
    <w:p>
      <w:pPr>
        <w:pStyle w:val="Corpodotexto"/>
        <w:numPr>
          <w:ilvl w:val="0"/>
          <w:numId w:val="1"/>
        </w:numPr>
        <w:tabs>
          <w:tab w:val="clear" w:pos="720"/>
          <w:tab w:val="left" w:pos="0" w:leader="none"/>
        </w:tabs>
        <w:spacing w:lineRule="atLeast" w:line="192" w:before="0" w:after="0"/>
        <w:rPr/>
      </w:pPr>
      <w:r>
        <w:rPr>
          <w:rFonts w:ascii="Times New Roman" w:hAnsi="Times New Roman"/>
          <w:color w:val="000000"/>
          <w:sz w:val="28"/>
        </w:rPr>
        <w:t>assentamentos e acampamentos;</w:t>
      </w:r>
    </w:p>
    <w:p>
      <w:pPr>
        <w:pStyle w:val="Corpodotexto"/>
        <w:numPr>
          <w:ilvl w:val="0"/>
          <w:numId w:val="1"/>
        </w:numPr>
        <w:tabs>
          <w:tab w:val="clear" w:pos="720"/>
          <w:tab w:val="left" w:pos="0" w:leader="none"/>
        </w:tabs>
        <w:spacing w:lineRule="atLeast" w:line="192" w:before="0" w:after="0"/>
        <w:rPr/>
      </w:pPr>
      <w:r>
        <w:rPr>
          <w:rFonts w:ascii="Times New Roman" w:hAnsi="Times New Roman"/>
          <w:color w:val="000000"/>
          <w:sz w:val="28"/>
        </w:rPr>
        <w:t>regiões com menor presença de espaços e equipamentos culturais públicos;</w:t>
      </w:r>
    </w:p>
    <w:p>
      <w:pPr>
        <w:pStyle w:val="Corpodotexto"/>
        <w:numPr>
          <w:ilvl w:val="0"/>
          <w:numId w:val="1"/>
        </w:numPr>
        <w:tabs>
          <w:tab w:val="clear" w:pos="720"/>
          <w:tab w:val="left" w:pos="0" w:leader="none"/>
        </w:tabs>
        <w:spacing w:lineRule="atLeast" w:line="192" w:before="0" w:after="0"/>
        <w:rPr/>
      </w:pPr>
      <w:r>
        <w:rPr>
          <w:rFonts w:ascii="Times New Roman" w:hAnsi="Times New Roman"/>
          <w:color w:val="000000"/>
          <w:sz w:val="28"/>
        </w:rPr>
        <w:t>regiões com menor histórico de acesso aos recursos da política pública de cultura;</w:t>
      </w:r>
    </w:p>
    <w:p>
      <w:pPr>
        <w:pStyle w:val="Corpodotexto"/>
        <w:numPr>
          <w:ilvl w:val="0"/>
          <w:numId w:val="1"/>
        </w:numPr>
        <w:tabs>
          <w:tab w:val="clear" w:pos="720"/>
          <w:tab w:val="left" w:pos="0" w:leader="none"/>
        </w:tabs>
        <w:spacing w:lineRule="atLeast" w:line="192" w:before="0" w:after="0"/>
        <w:rPr/>
      </w:pPr>
      <w:r>
        <w:rPr>
          <w:rFonts w:ascii="Times New Roman" w:hAnsi="Times New Roman"/>
          <w:color w:val="000000"/>
          <w:sz w:val="28"/>
        </w:rPr>
        <w:t>zonas especiais de interesse social; VIII - áreas atingidas por desastres naturais;</w:t>
      </w:r>
    </w:p>
    <w:p>
      <w:pPr>
        <w:pStyle w:val="Corpodotexto"/>
        <w:numPr>
          <w:ilvl w:val="0"/>
          <w:numId w:val="1"/>
        </w:numPr>
        <w:tabs>
          <w:tab w:val="clear" w:pos="720"/>
          <w:tab w:val="left" w:pos="0" w:leader="none"/>
        </w:tabs>
        <w:spacing w:lineRule="atLeast" w:line="192" w:before="0" w:after="0"/>
        <w:rPr/>
      </w:pPr>
      <w:r>
        <w:rPr>
          <w:rFonts w:ascii="Times New Roman" w:hAnsi="Times New Roman"/>
          <w:color w:val="000000"/>
          <w:sz w:val="28"/>
        </w:rPr>
        <w:t>territórios quilombolas;</w:t>
      </w:r>
    </w:p>
    <w:p>
      <w:pPr>
        <w:pStyle w:val="Corpodotexto"/>
        <w:numPr>
          <w:ilvl w:val="0"/>
          <w:numId w:val="1"/>
        </w:numPr>
        <w:tabs>
          <w:tab w:val="clear" w:pos="720"/>
          <w:tab w:val="left" w:pos="0" w:leader="none"/>
        </w:tabs>
        <w:spacing w:lineRule="atLeast" w:line="192" w:before="0" w:after="0"/>
        <w:rPr/>
      </w:pPr>
      <w:r>
        <w:rPr>
          <w:rFonts w:ascii="Times New Roman" w:hAnsi="Times New Roman"/>
          <w:color w:val="000000"/>
          <w:sz w:val="28"/>
        </w:rPr>
        <w:t>territórios indígenas;</w:t>
      </w:r>
    </w:p>
    <w:p>
      <w:pPr>
        <w:pStyle w:val="Corpodotexto"/>
        <w:numPr>
          <w:ilvl w:val="0"/>
          <w:numId w:val="1"/>
        </w:numPr>
        <w:tabs>
          <w:tab w:val="clear" w:pos="720"/>
          <w:tab w:val="left" w:pos="0" w:leader="none"/>
        </w:tabs>
        <w:spacing w:lineRule="atLeast" w:line="192" w:before="0" w:after="0"/>
        <w:rPr/>
      </w:pPr>
      <w:r>
        <w:rPr>
          <w:rFonts w:ascii="Times New Roman" w:hAnsi="Times New Roman"/>
          <w:color w:val="000000"/>
          <w:sz w:val="28"/>
        </w:rPr>
        <w:t>territórios rurais;</w:t>
      </w:r>
    </w:p>
    <w:p>
      <w:pPr>
        <w:pStyle w:val="Corpodotexto"/>
        <w:numPr>
          <w:ilvl w:val="0"/>
          <w:numId w:val="1"/>
        </w:numPr>
        <w:tabs>
          <w:tab w:val="clear" w:pos="720"/>
          <w:tab w:val="left" w:pos="0" w:leader="none"/>
        </w:tabs>
        <w:spacing w:lineRule="atLeast" w:line="192" w:before="0" w:after="0"/>
        <w:rPr/>
      </w:pPr>
      <w:r>
        <w:rPr>
          <w:rFonts w:ascii="Times New Roman" w:hAnsi="Times New Roman"/>
          <w:color w:val="000000"/>
          <w:sz w:val="28"/>
        </w:rPr>
        <w:t>espaços comunitários de convivência, acolhimento e alimentação; e</w:t>
      </w:r>
    </w:p>
    <w:p>
      <w:pPr>
        <w:pStyle w:val="Corpodotexto"/>
        <w:numPr>
          <w:ilvl w:val="0"/>
          <w:numId w:val="1"/>
        </w:numPr>
        <w:tabs>
          <w:tab w:val="clear" w:pos="720"/>
          <w:tab w:val="left" w:pos="0" w:leader="none"/>
        </w:tabs>
        <w:spacing w:lineRule="atLeast" w:line="192"/>
        <w:rPr/>
      </w:pPr>
      <w:r>
        <w:rPr>
          <w:rFonts w:ascii="Times New Roman" w:hAnsi="Times New Roman"/>
          <w:color w:val="000000"/>
          <w:sz w:val="28"/>
        </w:rPr>
        <w:t>demais regiões que sejam habitadas por pessoas em situação de vulnerabilidade econômica ou social.</w:t>
      </w:r>
    </w:p>
    <w:p>
      <w:pPr>
        <w:pStyle w:val="Corpodotexto"/>
        <w:rPr/>
      </w:pPr>
      <w:r>
        <w:rPr>
          <w:color w:val="000000"/>
        </w:rPr>
        <w:t> </w:t>
      </w:r>
    </w:p>
    <w:p>
      <w:pPr>
        <w:pStyle w:val="Corpodotexto"/>
        <w:spacing w:lineRule="atLeast" w:line="192"/>
        <w:rPr/>
      </w:pPr>
      <w:r>
        <w:rPr>
          <w:rStyle w:val="Nfaseforte"/>
          <w:rFonts w:ascii="Times New Roman" w:hAnsi="Times New Roman"/>
          <w:b w:val="false"/>
          <w:color w:val="000000"/>
          <w:sz w:val="28"/>
        </w:rPr>
        <w:t>III - Ampla concorrência:</w:t>
      </w:r>
      <w:r>
        <w:rPr>
          <w:rFonts w:ascii="Times New Roman" w:hAnsi="Times New Roman"/>
          <w:color w:val="000000"/>
          <w:sz w:val="28"/>
        </w:rPr>
        <w:t> 30% das vagas se destinam à ampla concorrência, sem incidência de categorias. </w:t>
      </w:r>
    </w:p>
    <w:p>
      <w:pPr>
        <w:pStyle w:val="Normal"/>
        <w:tabs>
          <w:tab w:val="clear" w:pos="720"/>
          <w:tab w:val="center" w:pos="0" w:leader="none"/>
        </w:tabs>
        <w:spacing w:lineRule="auto" w:line="240" w:before="0" w:after="120"/>
        <w:jc w:val="both"/>
        <w:rPr>
          <w:rFonts w:ascii="Calibri" w:hAnsi="Calibri" w:eastAsia="Calibri" w:cs="Calibri"/>
          <w:color w:val="FF0000"/>
          <w:sz w:val="24"/>
          <w:szCs w:val="24"/>
        </w:rPr>
      </w:pPr>
      <w:r>
        <w:rPr>
          <w:rFonts w:eastAsia="Calibri" w:cs="Calibri" w:ascii="Calibri" w:hAnsi="Calibri"/>
          <w:color w:val="FF0000"/>
          <w:sz w:val="24"/>
          <w:szCs w:val="24"/>
        </w:rPr>
      </w:r>
    </w:p>
    <w:tbl>
      <w:tblPr>
        <w:tblW w:w="13965" w:type="dxa"/>
        <w:jc w:val="left"/>
        <w:tblInd w:w="-1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100" w:type="dxa"/>
          <w:left w:w="90" w:type="dxa"/>
          <w:bottom w:w="100" w:type="dxa"/>
          <w:right w:w="100" w:type="dxa"/>
        </w:tblCellMar>
        <w:tblLook w:val="0600"/>
      </w:tblPr>
      <w:tblGrid>
        <w:gridCol w:w="554"/>
        <w:gridCol w:w="4094"/>
        <w:gridCol w:w="4247"/>
        <w:gridCol w:w="5069"/>
      </w:tblGrid>
      <w:tr>
        <w:trPr>
          <w:cantSplit w:val="true"/>
        </w:trPr>
        <w:tc>
          <w:tcPr>
            <w:tcW w:w="554"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
              <w:widowControl w:val="false"/>
              <w:spacing w:lineRule="auto" w:line="240"/>
              <w:jc w:val="center"/>
              <w:rPr>
                <w:rFonts w:ascii="Calibri" w:hAnsi="Calibri" w:eastAsia="Calibri" w:cs="Calibri"/>
                <w:b/>
                <w:b/>
                <w:color w:val="auto"/>
                <w:sz w:val="24"/>
                <w:szCs w:val="24"/>
              </w:rPr>
            </w:pPr>
            <w:r>
              <w:rPr>
                <w:rFonts w:eastAsia="Calibri" w:cs="Calibri" w:ascii="Calibri" w:hAnsi="Calibri"/>
                <w:b/>
                <w:color w:val="auto"/>
                <w:sz w:val="24"/>
                <w:szCs w:val="24"/>
              </w:rPr>
            </w:r>
          </w:p>
        </w:tc>
        <w:tc>
          <w:tcPr>
            <w:tcW w:w="4094"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
              <w:widowControl w:val="false"/>
              <w:spacing w:lineRule="auto" w:line="240"/>
              <w:jc w:val="center"/>
              <w:rPr>
                <w:rFonts w:ascii="Calibri" w:hAnsi="Calibri" w:eastAsia="Calibri" w:cs="Calibri"/>
                <w:b/>
                <w:b/>
                <w:color w:val="FF0000"/>
                <w:sz w:val="24"/>
                <w:szCs w:val="24"/>
              </w:rPr>
            </w:pPr>
            <w:r>
              <w:rPr>
                <w:rFonts w:eastAsia="Calibri" w:cs="Calibri" w:ascii="Calibri" w:hAnsi="Calibri"/>
                <w:b/>
                <w:color w:val="auto"/>
                <w:sz w:val="24"/>
                <w:szCs w:val="24"/>
              </w:rPr>
              <w:t>NOME  E DESCRIÇÃO DA CATEGORIA</w:t>
            </w:r>
          </w:p>
        </w:tc>
        <w:tc>
          <w:tcPr>
            <w:tcW w:w="424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
              <w:widowControl w:val="false"/>
              <w:spacing w:lineRule="auto" w:line="240"/>
              <w:jc w:val="center"/>
              <w:rPr>
                <w:rFonts w:ascii="Calibri" w:hAnsi="Calibri" w:eastAsia="Calibri" w:cs="Calibri"/>
                <w:b/>
                <w:b/>
                <w:color w:val="FF0000"/>
                <w:sz w:val="24"/>
                <w:szCs w:val="24"/>
              </w:rPr>
            </w:pPr>
            <w:r>
              <w:rPr>
                <w:rFonts w:eastAsia="Calibri" w:cs="Calibri" w:ascii="Calibri" w:hAnsi="Calibri"/>
                <w:b/>
                <w:color w:val="auto"/>
                <w:sz w:val="24"/>
                <w:szCs w:val="24"/>
              </w:rPr>
              <w:t>NÚMERO DE VAGAS PARA CATEGORIA</w:t>
            </w:r>
          </w:p>
        </w:tc>
        <w:tc>
          <w:tcPr>
            <w:tcW w:w="5069"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
              <w:widowControl w:val="false"/>
              <w:spacing w:lineRule="auto" w:line="240"/>
              <w:jc w:val="center"/>
              <w:rPr>
                <w:rFonts w:ascii="Calibri" w:hAnsi="Calibri" w:eastAsia="Calibri" w:cs="Calibri"/>
                <w:b/>
                <w:b/>
                <w:color w:val="FF0000"/>
                <w:sz w:val="24"/>
                <w:szCs w:val="24"/>
                <w:highlight w:val="yellow"/>
              </w:rPr>
            </w:pPr>
            <w:r>
              <w:rPr>
                <w:rFonts w:eastAsia="Calibri" w:cs="Calibri" w:ascii="Calibri" w:hAnsi="Calibri"/>
                <w:b/>
                <w:color w:val="auto"/>
                <w:sz w:val="24"/>
                <w:szCs w:val="24"/>
              </w:rPr>
              <w:t>VALOR TOTAL DISPONÍVEL POR PROJETO SELECIONADO (R$)</w:t>
            </w:r>
          </w:p>
        </w:tc>
      </w:tr>
      <w:tr>
        <w:trPr/>
        <w:tc>
          <w:tcPr>
            <w:tcW w:w="554"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
              <w:tabs>
                <w:tab w:val="clear" w:pos="720"/>
                <w:tab w:val="center" w:pos="0" w:leader="none"/>
              </w:tabs>
              <w:spacing w:lineRule="auto" w:line="240" w:before="0" w:after="120"/>
              <w:jc w:val="both"/>
              <w:rPr>
                <w:rFonts w:ascii="Calibri" w:hAnsi="Calibri" w:eastAsia="Calibri" w:cs="Calibri"/>
                <w:color w:val="FF0000"/>
                <w:sz w:val="24"/>
                <w:szCs w:val="24"/>
              </w:rPr>
            </w:pPr>
            <w:r>
              <w:rPr>
                <w:rFonts w:eastAsia="Calibri" w:cs="Calibri" w:ascii="Calibri" w:hAnsi="Calibri"/>
                <w:color w:val="auto"/>
                <w:sz w:val="24"/>
                <w:szCs w:val="24"/>
              </w:rPr>
              <w:t>01</w:t>
            </w:r>
          </w:p>
        </w:tc>
        <w:tc>
          <w:tcPr>
            <w:tcW w:w="4094"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
              <w:tabs>
                <w:tab w:val="clear" w:pos="720"/>
                <w:tab w:val="center" w:pos="0" w:leader="none"/>
              </w:tabs>
              <w:spacing w:lineRule="auto" w:line="240" w:before="0" w:after="120"/>
              <w:jc w:val="both"/>
              <w:rPr>
                <w:rFonts w:ascii="Calibri" w:hAnsi="Calibri" w:eastAsia="Calibri" w:cs="Calibri"/>
                <w:b/>
                <w:b/>
                <w:bCs/>
                <w:sz w:val="24"/>
                <w:szCs w:val="24"/>
              </w:rPr>
            </w:pPr>
            <w:r>
              <w:rPr>
                <w:rFonts w:eastAsia="Calibri" w:cs="Calibri" w:ascii="Calibri" w:hAnsi="Calibri"/>
                <w:b/>
                <w:bCs/>
                <w:color w:val="auto"/>
                <w:sz w:val="24"/>
                <w:szCs w:val="24"/>
              </w:rPr>
              <w:t>Cultura Tradicional</w:t>
            </w:r>
          </w:p>
        </w:tc>
        <w:tc>
          <w:tcPr>
            <w:tcW w:w="424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
              <w:widowControl w:val="false"/>
              <w:spacing w:lineRule="auto" w:line="240"/>
              <w:rPr>
                <w:rFonts w:ascii="Calibri" w:hAnsi="Calibri" w:eastAsia="Calibri" w:cs="Calibri"/>
                <w:b/>
                <w:b/>
                <w:bCs/>
                <w:sz w:val="24"/>
                <w:szCs w:val="24"/>
              </w:rPr>
            </w:pPr>
            <w:r>
              <w:rPr>
                <w:rFonts w:eastAsia="Calibri" w:cs="Calibri" w:ascii="Calibri" w:hAnsi="Calibri"/>
                <w:b/>
                <w:bCs/>
                <w:color w:val="auto"/>
                <w:sz w:val="24"/>
                <w:szCs w:val="24"/>
              </w:rPr>
              <w:t>2</w:t>
            </w:r>
          </w:p>
        </w:tc>
        <w:tc>
          <w:tcPr>
            <w:tcW w:w="5069"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
              <w:widowControl w:val="false"/>
              <w:spacing w:lineRule="auto" w:line="240"/>
              <w:rPr>
                <w:rFonts w:ascii="Calibri" w:hAnsi="Calibri" w:eastAsia="Calibri" w:cs="Calibri"/>
                <w:b/>
                <w:b/>
                <w:bCs/>
                <w:sz w:val="24"/>
                <w:szCs w:val="24"/>
              </w:rPr>
            </w:pPr>
            <w:r>
              <w:rPr>
                <w:rFonts w:eastAsia="Calibri" w:cs="Calibri" w:ascii="Calibri" w:hAnsi="Calibri"/>
                <w:b/>
                <w:bCs/>
                <w:color w:val="auto"/>
                <w:sz w:val="24"/>
                <w:szCs w:val="24"/>
              </w:rPr>
              <w:t>30.000,00</w:t>
            </w:r>
          </w:p>
        </w:tc>
      </w:tr>
      <w:tr>
        <w:trPr/>
        <w:tc>
          <w:tcPr>
            <w:tcW w:w="554"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
              <w:widowControl w:val="false"/>
              <w:spacing w:lineRule="auto" w:line="240"/>
              <w:rPr>
                <w:rFonts w:ascii="Calibri" w:hAnsi="Calibri" w:eastAsia="Calibri" w:cs="Calibri"/>
                <w:color w:val="FF0000"/>
                <w:sz w:val="24"/>
                <w:szCs w:val="24"/>
              </w:rPr>
            </w:pPr>
            <w:r>
              <w:rPr>
                <w:rFonts w:eastAsia="Calibri" w:cs="Calibri" w:ascii="Calibri" w:hAnsi="Calibri"/>
                <w:color w:val="auto"/>
                <w:sz w:val="24"/>
                <w:szCs w:val="24"/>
              </w:rPr>
              <w:t>02</w:t>
            </w:r>
          </w:p>
        </w:tc>
        <w:tc>
          <w:tcPr>
            <w:tcW w:w="4094"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
              <w:widowControl w:val="false"/>
              <w:spacing w:lineRule="auto" w:line="240"/>
              <w:rPr>
                <w:rFonts w:ascii="Calibri" w:hAnsi="Calibri" w:eastAsia="Calibri" w:cs="Calibri"/>
                <w:b/>
                <w:b/>
                <w:bCs/>
                <w:sz w:val="24"/>
                <w:szCs w:val="24"/>
              </w:rPr>
            </w:pPr>
            <w:r>
              <w:rPr>
                <w:rFonts w:eastAsia="Calibri" w:cs="Calibri" w:ascii="Calibri" w:hAnsi="Calibri"/>
                <w:b/>
                <w:bCs/>
                <w:color w:val="auto"/>
                <w:sz w:val="24"/>
                <w:szCs w:val="24"/>
              </w:rPr>
              <w:t>Ampla Concorrência</w:t>
            </w:r>
          </w:p>
        </w:tc>
        <w:tc>
          <w:tcPr>
            <w:tcW w:w="424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
              <w:widowControl w:val="false"/>
              <w:spacing w:lineRule="auto" w:line="240"/>
              <w:rPr>
                <w:rFonts w:ascii="Calibri" w:hAnsi="Calibri" w:eastAsia="Calibri" w:cs="Calibri"/>
                <w:b/>
                <w:b/>
                <w:bCs/>
                <w:sz w:val="24"/>
                <w:szCs w:val="24"/>
              </w:rPr>
            </w:pPr>
            <w:r>
              <w:rPr>
                <w:rFonts w:eastAsia="Calibri" w:cs="Calibri" w:ascii="Calibri" w:hAnsi="Calibri"/>
                <w:b/>
                <w:bCs/>
                <w:color w:val="auto"/>
                <w:sz w:val="24"/>
                <w:szCs w:val="24"/>
              </w:rPr>
              <w:t>2</w:t>
            </w:r>
          </w:p>
        </w:tc>
        <w:tc>
          <w:tcPr>
            <w:tcW w:w="5069"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
              <w:widowControl w:val="false"/>
              <w:spacing w:lineRule="auto" w:line="240"/>
              <w:rPr>
                <w:rFonts w:ascii="Calibri" w:hAnsi="Calibri" w:eastAsia="Calibri" w:cs="Calibri"/>
                <w:b/>
                <w:b/>
                <w:bCs/>
                <w:sz w:val="24"/>
                <w:szCs w:val="24"/>
              </w:rPr>
            </w:pPr>
            <w:r>
              <w:rPr>
                <w:rFonts w:eastAsia="Calibri" w:cs="Calibri" w:ascii="Calibri" w:hAnsi="Calibri"/>
                <w:b/>
                <w:bCs/>
                <w:color w:val="auto"/>
                <w:sz w:val="24"/>
                <w:szCs w:val="24"/>
              </w:rPr>
              <w:t>30.000,00</w:t>
            </w:r>
          </w:p>
        </w:tc>
      </w:tr>
      <w:tr>
        <w:trPr/>
        <w:tc>
          <w:tcPr>
            <w:tcW w:w="554"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
              <w:widowControl w:val="false"/>
              <w:spacing w:lineRule="auto" w:line="240"/>
              <w:rPr>
                <w:rFonts w:ascii="Calibri" w:hAnsi="Calibri" w:eastAsia="Calibri" w:cs="Calibri"/>
                <w:color w:val="FF0000"/>
                <w:sz w:val="24"/>
                <w:szCs w:val="24"/>
              </w:rPr>
            </w:pPr>
            <w:r>
              <w:rPr>
                <w:rFonts w:eastAsia="Calibri" w:cs="Calibri" w:ascii="Calibri" w:hAnsi="Calibri"/>
                <w:color w:val="auto"/>
                <w:sz w:val="24"/>
                <w:szCs w:val="24"/>
              </w:rPr>
              <w:t>03</w:t>
            </w:r>
          </w:p>
        </w:tc>
        <w:tc>
          <w:tcPr>
            <w:tcW w:w="4094"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
              <w:widowControl w:val="false"/>
              <w:spacing w:lineRule="auto" w:line="240"/>
              <w:rPr>
                <w:rFonts w:ascii="Calibri" w:hAnsi="Calibri" w:eastAsia="Calibri" w:cs="Calibri"/>
                <w:b/>
                <w:b/>
                <w:bCs/>
                <w:sz w:val="24"/>
                <w:szCs w:val="24"/>
              </w:rPr>
            </w:pPr>
            <w:r>
              <w:rPr>
                <w:rFonts w:eastAsia="Calibri" w:cs="Calibri" w:ascii="Calibri" w:hAnsi="Calibri"/>
                <w:b/>
                <w:bCs/>
                <w:color w:val="auto"/>
                <w:sz w:val="24"/>
                <w:szCs w:val="24"/>
              </w:rPr>
              <w:t>Descentralização</w:t>
            </w:r>
          </w:p>
        </w:tc>
        <w:tc>
          <w:tcPr>
            <w:tcW w:w="424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
              <w:widowControl w:val="false"/>
              <w:spacing w:lineRule="auto" w:line="240"/>
              <w:rPr>
                <w:rFonts w:ascii="Calibri" w:hAnsi="Calibri" w:eastAsia="Calibri" w:cs="Calibri"/>
                <w:b/>
                <w:b/>
                <w:bCs/>
                <w:sz w:val="24"/>
                <w:szCs w:val="24"/>
              </w:rPr>
            </w:pPr>
            <w:r>
              <w:rPr>
                <w:rFonts w:eastAsia="Calibri" w:cs="Calibri" w:ascii="Calibri" w:hAnsi="Calibri"/>
                <w:b/>
                <w:bCs/>
                <w:color w:val="auto"/>
                <w:sz w:val="24"/>
                <w:szCs w:val="24"/>
              </w:rPr>
              <w:t>1</w:t>
            </w:r>
          </w:p>
        </w:tc>
        <w:tc>
          <w:tcPr>
            <w:tcW w:w="5069"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
              <w:widowControl w:val="false"/>
              <w:spacing w:lineRule="auto" w:line="240"/>
              <w:rPr>
                <w:rFonts w:ascii="Calibri" w:hAnsi="Calibri" w:eastAsia="Calibri" w:cs="Calibri"/>
                <w:b/>
                <w:b/>
                <w:bCs/>
                <w:sz w:val="24"/>
                <w:szCs w:val="24"/>
              </w:rPr>
            </w:pPr>
            <w:r>
              <w:rPr>
                <w:rFonts w:eastAsia="Calibri" w:cs="Calibri" w:ascii="Calibri" w:hAnsi="Calibri"/>
                <w:b/>
                <w:bCs/>
                <w:color w:val="auto"/>
                <w:sz w:val="24"/>
                <w:szCs w:val="24"/>
              </w:rPr>
              <w:t>30.000,00</w:t>
            </w:r>
          </w:p>
        </w:tc>
      </w:tr>
    </w:tbl>
    <w:p>
      <w:pPr>
        <w:pStyle w:val="Normal"/>
        <w:tabs>
          <w:tab w:val="clear" w:pos="720"/>
          <w:tab w:val="center" w:pos="0" w:leader="none"/>
        </w:tabs>
        <w:spacing w:lineRule="auto" w:line="240" w:before="0" w:after="120"/>
        <w:jc w:val="both"/>
        <w:rPr>
          <w:rFonts w:ascii="Calibri" w:hAnsi="Calibri" w:eastAsia="Calibri" w:cs="Calibri"/>
          <w:b/>
          <w:b/>
          <w:sz w:val="24"/>
          <w:szCs w:val="24"/>
          <w:highlight w:val="yellow"/>
        </w:rPr>
      </w:pPr>
      <w:r>
        <w:rPr>
          <w:rFonts w:eastAsia="Calibri" w:cs="Calibri" w:ascii="Calibri" w:hAnsi="Calibri"/>
          <w:b/>
          <w:sz w:val="24"/>
          <w:szCs w:val="24"/>
          <w:highlight w:val="yellow"/>
        </w:rPr>
      </w:r>
    </w:p>
    <w:p>
      <w:pPr>
        <w:pStyle w:val="Corpodotexto"/>
        <w:spacing w:lineRule="atLeast" w:line="192"/>
        <w:rPr/>
      </w:pPr>
      <w:r>
        <w:rPr>
          <w:rFonts w:ascii="Times New Roman" w:hAnsi="Times New Roman"/>
          <w:color w:val="000000"/>
          <w:sz w:val="28"/>
        </w:rPr>
        <w:t>DAS POLÍTICAS DE COTAS OU RESERVA DE VAGAS</w:t>
      </w:r>
    </w:p>
    <w:p>
      <w:pPr>
        <w:pStyle w:val="Corpodotexto"/>
        <w:spacing w:lineRule="atLeast" w:line="192"/>
        <w:rPr/>
      </w:pPr>
      <w:r>
        <w:rPr>
          <w:rFonts w:ascii="Times New Roman" w:hAnsi="Times New Roman"/>
          <w:color w:val="000000"/>
          <w:sz w:val="28"/>
        </w:rPr>
        <w:t>Art. 5º A política de cotas tem como objeto garantir a reserva de um percentual mínimo de vagas a grupos específicos, sendo aplicáveis aos procedimentos públicos de seleção de que trata a Lei nº 14.399, de 2022.</w:t>
      </w:r>
    </w:p>
    <w:p>
      <w:pPr>
        <w:pStyle w:val="Corpodotexto"/>
        <w:spacing w:lineRule="atLeast" w:line="192"/>
        <w:rPr/>
      </w:pPr>
      <w:r>
        <w:rPr>
          <w:rFonts w:ascii="Times New Roman" w:hAnsi="Times New Roman"/>
          <w:color w:val="000000"/>
          <w:sz w:val="28"/>
        </w:rPr>
        <w:t>Art. 6º Ficam garantidas cotas em todos os editais de fomento realizados com recursos da Lei nº 14.399, de 2022, de no mínimo:</w:t>
      </w:r>
    </w:p>
    <w:p>
      <w:pPr>
        <w:pStyle w:val="Corpodotexto"/>
        <w:spacing w:lineRule="atLeast" w:line="192"/>
        <w:rPr/>
      </w:pPr>
      <w:r>
        <w:rPr>
          <w:rFonts w:ascii="Times New Roman" w:hAnsi="Times New Roman"/>
          <w:color w:val="000000"/>
          <w:sz w:val="28"/>
        </w:rPr>
        <w:t>I - vinte e cinco por cento das vagas para pessoas negras (pretas ou pardas);</w:t>
      </w:r>
    </w:p>
    <w:p>
      <w:pPr>
        <w:pStyle w:val="Corpodotexto"/>
        <w:spacing w:lineRule="atLeast" w:line="192"/>
        <w:rPr/>
      </w:pPr>
      <w:r>
        <w:rPr>
          <w:rFonts w:ascii="Times New Roman" w:hAnsi="Times New Roman"/>
          <w:color w:val="000000"/>
          <w:sz w:val="28"/>
        </w:rPr>
        <w:t>II - dez por cento das vagas para pessoas indígenas; e</w:t>
      </w:r>
    </w:p>
    <w:p>
      <w:pPr>
        <w:pStyle w:val="Corpodotexto"/>
        <w:spacing w:lineRule="atLeast" w:line="192"/>
        <w:rPr/>
      </w:pPr>
      <w:r>
        <w:rPr>
          <w:rFonts w:ascii="Times New Roman" w:hAnsi="Times New Roman"/>
          <w:color w:val="000000"/>
          <w:sz w:val="28"/>
        </w:rPr>
        <w:t>III - cinco por cento para pessoas com deficiência.</w:t>
      </w:r>
    </w:p>
    <w:p>
      <w:pPr>
        <w:pStyle w:val="Corpodotexto"/>
        <w:spacing w:lineRule="atLeast" w:line="192"/>
        <w:rPr/>
      </w:pPr>
      <w:r>
        <w:rPr>
          <w:rFonts w:ascii="Times New Roman" w:hAnsi="Times New Roman"/>
          <w:color w:val="000000"/>
          <w:sz w:val="28"/>
        </w:rPr>
        <w:t>§ 1º O percentual de que trata este artigo pode ser ampliado considerando legislações locais mais benéficas ao público-alvo da ação afirmativa e o quantitativo de pessoas negras, indígenas, e pessoas com deficiência na região.</w:t>
      </w:r>
    </w:p>
    <w:p>
      <w:pPr>
        <w:pStyle w:val="Corpodotexto"/>
        <w:spacing w:lineRule="atLeast" w:line="192"/>
        <w:rPr/>
      </w:pPr>
      <w:r>
        <w:rPr>
          <w:rFonts w:ascii="Times New Roman" w:hAnsi="Times New Roman"/>
          <w:color w:val="000000"/>
          <w:sz w:val="28"/>
        </w:rPr>
        <w:t>§ 2º Na hipótese de quantitativo fracionado para o número de vagas reservadas, esse será aumentado para o primeiro número inteiro subsequente, em caso de fração igual ou maior que 0,5 (cinco décimos), ou diminuído para número inteiro imediatamente inferior, em caso de fração menor que 0,5 (cinco décimos).</w:t>
      </w:r>
    </w:p>
    <w:p>
      <w:pPr>
        <w:pStyle w:val="Corpodotexto"/>
        <w:spacing w:lineRule="atLeast" w:line="192"/>
        <w:rPr/>
      </w:pPr>
      <w:r>
        <w:rPr>
          <w:rFonts w:ascii="Times New Roman" w:hAnsi="Times New Roman"/>
          <w:color w:val="000000"/>
          <w:sz w:val="28"/>
        </w:rPr>
        <w:t>§ 3º Em caso de editais divididos em categorias, devem ser estabelecidas cotas em todas elas, ressalvados os casos de impossibilidade fática, no qual o percentual mínimo de reserva será aplicado ao total das vagas do edital.</w:t>
      </w:r>
    </w:p>
    <w:p>
      <w:pPr>
        <w:pStyle w:val="Corpodotexto"/>
        <w:spacing w:lineRule="atLeast" w:line="192"/>
        <w:rPr/>
      </w:pPr>
      <w:r>
        <w:rPr>
          <w:rFonts w:ascii="Times New Roman" w:hAnsi="Times New Roman"/>
          <w:color w:val="000000"/>
          <w:sz w:val="28"/>
        </w:rPr>
        <w:t>§ 4º Nos casos excepcionais em que for estabelecido somente uma vaga total por categoria, o ente pode optar por destiná-la à ampla concorrência ou às cotas, garantindo que ao menos vinte e cinco por cento do total das vagas do Edital sejam destinadas a pessoas negras, dez por cento a pessoas indígenas e dez por cento a pessoas com deficiência. (retificação publicada no DOU de 10/01/2024)</w:t>
      </w:r>
    </w:p>
    <w:p>
      <w:pPr>
        <w:pStyle w:val="Corpodotexto"/>
        <w:spacing w:lineRule="atLeast" w:line="192"/>
        <w:rPr/>
      </w:pPr>
      <w:r>
        <w:rPr>
          <w:rFonts w:ascii="Times New Roman" w:hAnsi="Times New Roman"/>
          <w:color w:val="000000"/>
          <w:sz w:val="28"/>
        </w:rPr>
        <w:t>§ 5º Nos casos de editais específicos de que trata o art. 14, o estabelecimento de cotas para pessoas negras e indígenas pode ser dispensado, caso o edital seja integralmente direcionado a proponentes de grupos étnico-raciais público-alvo de ações afirmativas.</w:t>
      </w:r>
    </w:p>
    <w:p>
      <w:pPr>
        <w:pStyle w:val="Corpodotexto"/>
        <w:spacing w:lineRule="atLeast" w:line="192"/>
        <w:rPr/>
      </w:pPr>
      <w:r>
        <w:rPr>
          <w:rFonts w:ascii="Times New Roman" w:hAnsi="Times New Roman"/>
          <w:color w:val="000000"/>
          <w:sz w:val="28"/>
        </w:rPr>
        <w:t>§ 6º As cotas previstas neste artigo podem ser implementadas juntamente com:</w:t>
      </w:r>
    </w:p>
    <w:p>
      <w:pPr>
        <w:pStyle w:val="Corpodotexto"/>
        <w:spacing w:lineRule="atLeast" w:line="192"/>
        <w:rPr/>
      </w:pPr>
      <w:r>
        <w:rPr>
          <w:rFonts w:ascii="Times New Roman" w:hAnsi="Times New Roman"/>
          <w:color w:val="000000"/>
          <w:sz w:val="28"/>
        </w:rPr>
        <w:t>I - cotas para outros grupos sociais e;</w:t>
      </w:r>
    </w:p>
    <w:p>
      <w:pPr>
        <w:pStyle w:val="Corpodotexto"/>
        <w:spacing w:lineRule="atLeast" w:line="192"/>
        <w:rPr/>
      </w:pPr>
      <w:r>
        <w:rPr>
          <w:rFonts w:ascii="Times New Roman" w:hAnsi="Times New Roman"/>
          <w:color w:val="000000"/>
          <w:sz w:val="28"/>
        </w:rPr>
        <w:t>II - outras ações afirmativas, tais como editais específicos e critérios diferenciados de pontuação.</w:t>
      </w:r>
    </w:p>
    <w:p>
      <w:pPr>
        <w:pStyle w:val="Corpodotexto"/>
        <w:spacing w:lineRule="atLeast" w:line="192"/>
        <w:rPr/>
      </w:pPr>
      <w:r>
        <w:rPr>
          <w:rFonts w:ascii="Times New Roman" w:hAnsi="Times New Roman"/>
          <w:color w:val="000000"/>
          <w:sz w:val="28"/>
        </w:rPr>
        <w:t>Art. 7º Os agentes culturais que optarem por concorrer às cotas concorrerão concomitantemente às vagas destinadas à ampla concorrência, de acordo com a sua classificação no processo.</w:t>
      </w:r>
    </w:p>
    <w:p>
      <w:pPr>
        <w:pStyle w:val="Corpodotexto"/>
        <w:spacing w:lineRule="atLeast" w:line="192"/>
        <w:rPr/>
      </w:pPr>
      <w:r>
        <w:rPr>
          <w:rFonts w:ascii="Times New Roman" w:hAnsi="Times New Roman"/>
          <w:color w:val="000000"/>
          <w:sz w:val="28"/>
        </w:rPr>
        <w:t>§ 1º As pessoas que optarem pelas cotas e atingirem nota suficiente para se classificar no número de vagas oferecidas para ampla concorrência não ocuparão as vagas destinadas para o preenchimento das cotas.</w:t>
      </w:r>
    </w:p>
    <w:p>
      <w:pPr>
        <w:pStyle w:val="Corpodotexto"/>
        <w:spacing w:lineRule="atLeast" w:line="192"/>
        <w:rPr/>
      </w:pPr>
      <w:r>
        <w:rPr>
          <w:rFonts w:ascii="Times New Roman" w:hAnsi="Times New Roman"/>
          <w:color w:val="000000"/>
          <w:sz w:val="28"/>
        </w:rPr>
        <w:t>§ 2º Em caso de desistência de optantes aprovados nas cotas, a vaga não preenchida deverá ser ocupada por pessoa que concorreu às cotas de acordo com a ordem de classificação.</w:t>
      </w:r>
    </w:p>
    <w:p>
      <w:pPr>
        <w:pStyle w:val="Corpodotexto"/>
        <w:spacing w:lineRule="atLeast" w:line="192"/>
        <w:rPr/>
      </w:pPr>
      <w:r>
        <w:rPr>
          <w:rFonts w:ascii="Times New Roman" w:hAnsi="Times New Roman"/>
          <w:color w:val="000000"/>
          <w:sz w:val="28"/>
        </w:rPr>
        <w:t>§ 3º No caso de não existirem propostas aptas em número suficiente para o cumprimento de uma das categorias de cotas previstas na seleção, o número de vagas restantes deverá ser destinado inicialmente para a outra categoria de cotas.</w:t>
      </w:r>
    </w:p>
    <w:p>
      <w:pPr>
        <w:pStyle w:val="Corpodotexto"/>
        <w:spacing w:lineRule="atLeast" w:line="192"/>
        <w:rPr/>
      </w:pPr>
      <w:r>
        <w:rPr>
          <w:rFonts w:ascii="Times New Roman" w:hAnsi="Times New Roman"/>
          <w:color w:val="000000"/>
          <w:sz w:val="28"/>
        </w:rPr>
        <w:t>§ 4º Caso não haja outra categoria de cotas de que trata o §3º, as vagas não preenchidas deverão ser direcionadas para a ampla concorrência, sendo os demais candidatos selecionados de acordo com a ordem de classificação.</w:t>
      </w:r>
    </w:p>
    <w:p>
      <w:pPr>
        <w:pStyle w:val="Corpodotexto"/>
        <w:spacing w:lineRule="atLeast" w:line="192"/>
        <w:rPr/>
      </w:pPr>
      <w:r>
        <w:rPr>
          <w:rFonts w:ascii="Times New Roman" w:hAnsi="Times New Roman"/>
          <w:color w:val="000000"/>
          <w:sz w:val="28"/>
        </w:rPr>
        <w:t>Art. 8º Para concorrer às cotas, os agentes culturais deverão autodeclarar-se no ato de inscrição, conforme modelos constantes nos Anexo I e II, ou outro modelo disponibilizado pelo ente federativo.</w:t>
      </w:r>
    </w:p>
    <w:p>
      <w:pPr>
        <w:pStyle w:val="Corpodotexto"/>
        <w:spacing w:lineRule="atLeast" w:line="192"/>
        <w:rPr/>
      </w:pPr>
      <w:r>
        <w:rPr>
          <w:rFonts w:ascii="Times New Roman" w:hAnsi="Times New Roman"/>
          <w:color w:val="000000"/>
          <w:sz w:val="28"/>
        </w:rPr>
        <w:t>Parágrafo único. A autodeclaração poderá ser apresentada por escrito, em vídeo, áudio, em Libras, ou em outros formatos acessíveis.</w:t>
      </w:r>
    </w:p>
    <w:p>
      <w:pPr>
        <w:pStyle w:val="Corpodotexto"/>
        <w:spacing w:lineRule="atLeast" w:line="192"/>
        <w:rPr/>
      </w:pPr>
      <w:r>
        <w:rPr>
          <w:rFonts w:ascii="Times New Roman" w:hAnsi="Times New Roman"/>
          <w:color w:val="000000"/>
          <w:sz w:val="28"/>
        </w:rPr>
        <w:t>Art. 9º A autodeclaração do agente cultural goza de presunção de veracidade, podendo os Entes Federativos estabelecer em editais procedimentos complementares, tais como:</w:t>
      </w:r>
    </w:p>
    <w:p>
      <w:pPr>
        <w:pStyle w:val="Corpodotexto"/>
        <w:spacing w:lineRule="atLeast" w:line="192"/>
        <w:rPr/>
      </w:pPr>
      <w:r>
        <w:rPr>
          <w:rFonts w:ascii="Times New Roman" w:hAnsi="Times New Roman"/>
          <w:color w:val="000000"/>
          <w:sz w:val="28"/>
        </w:rPr>
        <w:t>I - heteroidentificação: procedimento complementar à autodeclaração de pertencimento racial, para confirmação, por terceiros, da identificação como pessoa negra (preta ou parda) de acordo com seu fenótipo, isto é, conforme suas características físicas;</w:t>
      </w:r>
    </w:p>
    <w:p>
      <w:pPr>
        <w:pStyle w:val="Corpodotexto"/>
        <w:spacing w:lineRule="atLeast" w:line="192"/>
        <w:rPr/>
      </w:pPr>
      <w:r>
        <w:rPr>
          <w:rFonts w:ascii="Times New Roman" w:hAnsi="Times New Roman"/>
          <w:color w:val="000000"/>
          <w:sz w:val="28"/>
        </w:rPr>
        <w:t>II - solicitação de carta consubstanciada: documento apresentado em formato escrito, oral ou audiovisual que promove a reflexão sobre o pertencimento étnico-racial, contendo os motivos pelos quais o agente cultural se autodeclara negro (preto ou pardo) ou indígena, conforme modelo constante no Anexo III;</w:t>
      </w:r>
    </w:p>
    <w:p>
      <w:pPr>
        <w:pStyle w:val="Corpodotexto"/>
        <w:spacing w:lineRule="atLeast" w:line="192"/>
        <w:rPr/>
      </w:pPr>
      <w:r>
        <w:rPr>
          <w:rFonts w:ascii="Times New Roman" w:hAnsi="Times New Roman"/>
          <w:color w:val="000000"/>
          <w:sz w:val="28"/>
        </w:rPr>
        <w:t>III - solicitação de um documento em formato escrito, oral ou audiovisual que demonstre o pertencimento étnico do agente cultural indígena elaborado por liderança ou entidade constituída em forma de associação, fundação ou qualquer configuração de entidade formalizada ou não, desde que gerida por povos indígenas;</w:t>
      </w:r>
    </w:p>
    <w:p>
      <w:pPr>
        <w:pStyle w:val="Corpodotexto"/>
        <w:spacing w:lineRule="atLeast" w:line="192"/>
        <w:rPr/>
      </w:pPr>
      <w:r>
        <w:rPr>
          <w:rFonts w:ascii="Times New Roman" w:hAnsi="Times New Roman"/>
          <w:color w:val="000000"/>
          <w:sz w:val="28"/>
        </w:rPr>
        <w:t>IV - procedimento de avaliação biopsicossocial realizada nos termos do § 1º do art. 2º da Lei nº 13.146, de 2015, solicitação de documentos como laudo médico, Certificado da Pessoa com Deficiência ou comprovante de recebimento de Benefício de Prestação Continuada à Pessoa com Deficiência; ou</w:t>
      </w:r>
    </w:p>
    <w:p>
      <w:pPr>
        <w:pStyle w:val="Corpodotexto"/>
        <w:spacing w:lineRule="atLeast" w:line="192"/>
        <w:rPr/>
      </w:pPr>
      <w:r>
        <w:rPr>
          <w:rFonts w:ascii="Times New Roman" w:hAnsi="Times New Roman"/>
          <w:color w:val="000000"/>
          <w:sz w:val="28"/>
        </w:rPr>
        <w:t>V - outras estratégias com vistas a garantir que as cotas sejam destinadas a pessoas negras, indígenas ou com deficiência.</w:t>
      </w:r>
    </w:p>
    <w:p>
      <w:pPr>
        <w:pStyle w:val="Corpodotexto"/>
        <w:tabs>
          <w:tab w:val="clear" w:pos="720"/>
          <w:tab w:val="center" w:pos="0" w:leader="none"/>
        </w:tabs>
        <w:spacing w:lineRule="auto" w:line="240" w:before="0" w:after="120"/>
        <w:jc w:val="both"/>
        <w:rPr>
          <w:rFonts w:ascii="Calibri" w:hAnsi="Calibri" w:eastAsia="Calibri" w:cs="Calibri"/>
          <w:b/>
          <w:b/>
          <w:sz w:val="24"/>
          <w:szCs w:val="24"/>
          <w:u w:val="single"/>
        </w:rPr>
      </w:pPr>
      <w:r>
        <w:rPr>
          <w:rFonts w:eastAsia="Calibri" w:cs="Calibri" w:ascii="Calibri" w:hAnsi="Calibri"/>
          <w:b/>
          <w:sz w:val="24"/>
          <w:szCs w:val="24"/>
          <w:u w:val="single"/>
        </w:rPr>
      </w:r>
    </w:p>
    <w:tbl>
      <w:tblPr>
        <w:tblW w:w="13954" w:type="dxa"/>
        <w:jc w:val="left"/>
        <w:tblInd w:w="-1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100" w:type="dxa"/>
          <w:left w:w="90" w:type="dxa"/>
          <w:bottom w:w="100" w:type="dxa"/>
          <w:right w:w="100" w:type="dxa"/>
        </w:tblCellMar>
        <w:tblLook w:val="0600"/>
      </w:tblPr>
      <w:tblGrid>
        <w:gridCol w:w="6978"/>
        <w:gridCol w:w="6975"/>
      </w:tblGrid>
      <w:tr>
        <w:trPr/>
        <w:tc>
          <w:tcPr>
            <w:tcW w:w="697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
              <w:widowControl w:val="false"/>
              <w:spacing w:lineRule="auto" w:line="240"/>
              <w:rPr>
                <w:rFonts w:ascii="Calibri" w:hAnsi="Calibri" w:eastAsia="Calibri" w:cs="Calibri"/>
                <w:b/>
                <w:b/>
                <w:sz w:val="24"/>
                <w:szCs w:val="24"/>
                <w:highlight w:val="yellow"/>
              </w:rPr>
            </w:pPr>
            <w:r>
              <w:rPr>
                <w:rFonts w:eastAsia="Calibri" w:cs="Calibri" w:ascii="Calibri" w:hAnsi="Calibri"/>
                <w:b/>
                <w:sz w:val="24"/>
                <w:szCs w:val="24"/>
                <w:highlight w:val="yellow"/>
              </w:rPr>
            </w:r>
          </w:p>
        </w:tc>
        <w:tc>
          <w:tcPr>
            <w:tcW w:w="6975"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
              <w:widowControl w:val="false"/>
              <w:spacing w:lineRule="auto" w:line="240"/>
              <w:jc w:val="center"/>
              <w:rPr>
                <w:rFonts w:ascii="Calibri" w:hAnsi="Calibri" w:eastAsia="Calibri" w:cs="Calibri"/>
                <w:b/>
                <w:b/>
                <w:sz w:val="24"/>
                <w:szCs w:val="24"/>
              </w:rPr>
            </w:pPr>
            <w:r>
              <w:rPr>
                <w:rFonts w:eastAsia="Calibri" w:cs="Calibri" w:ascii="Calibri" w:hAnsi="Calibri"/>
                <w:b/>
                <w:sz w:val="24"/>
                <w:szCs w:val="24"/>
              </w:rPr>
              <w:t>NÚMERO DE VAGAS MÍNIMAS</w:t>
            </w:r>
          </w:p>
        </w:tc>
      </w:tr>
      <w:tr>
        <w:trPr/>
        <w:tc>
          <w:tcPr>
            <w:tcW w:w="697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
              <w:widowControl w:val="false"/>
              <w:spacing w:lineRule="auto" w:line="240"/>
              <w:rPr>
                <w:rFonts w:ascii="Calibri" w:hAnsi="Calibri" w:eastAsia="Calibri" w:cs="Calibri"/>
                <w:b/>
                <w:b/>
                <w:sz w:val="24"/>
                <w:szCs w:val="24"/>
              </w:rPr>
            </w:pPr>
            <w:r>
              <w:rPr>
                <w:rFonts w:eastAsia="Calibri" w:cs="Calibri" w:ascii="Calibri" w:hAnsi="Calibri"/>
                <w:b/>
                <w:sz w:val="24"/>
                <w:szCs w:val="24"/>
              </w:rPr>
              <w:t>pessoas negras (pretas ou pardas)</w:t>
            </w:r>
          </w:p>
        </w:tc>
        <w:tc>
          <w:tcPr>
            <w:tcW w:w="6975"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
              <w:widowControl w:val="false"/>
              <w:spacing w:lineRule="auto" w:line="240"/>
              <w:rPr>
                <w:rFonts w:ascii="Calibri" w:hAnsi="Calibri" w:eastAsia="Calibri" w:cs="Calibri"/>
                <w:color w:val="FF0000"/>
                <w:sz w:val="24"/>
                <w:szCs w:val="24"/>
              </w:rPr>
            </w:pPr>
            <w:r>
              <w:rPr>
                <w:rFonts w:eastAsia="Calibri" w:cs="Calibri" w:ascii="Calibri" w:hAnsi="Calibri"/>
                <w:color w:val="auto"/>
                <w:sz w:val="24"/>
                <w:szCs w:val="24"/>
              </w:rPr>
              <w:t>1</w:t>
            </w:r>
          </w:p>
        </w:tc>
      </w:tr>
      <w:tr>
        <w:trPr/>
        <w:tc>
          <w:tcPr>
            <w:tcW w:w="697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
              <w:widowControl w:val="false"/>
              <w:spacing w:lineRule="auto" w:line="240"/>
              <w:rPr>
                <w:rFonts w:ascii="Calibri" w:hAnsi="Calibri" w:eastAsia="Calibri" w:cs="Calibri"/>
                <w:b/>
                <w:b/>
                <w:sz w:val="24"/>
                <w:szCs w:val="24"/>
              </w:rPr>
            </w:pPr>
            <w:r>
              <w:rPr>
                <w:rFonts w:eastAsia="Calibri" w:cs="Calibri" w:ascii="Calibri" w:hAnsi="Calibri"/>
                <w:b/>
                <w:sz w:val="24"/>
                <w:szCs w:val="24"/>
              </w:rPr>
              <w:t>pessoas indígenas</w:t>
            </w:r>
          </w:p>
        </w:tc>
        <w:tc>
          <w:tcPr>
            <w:tcW w:w="6975"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
              <w:widowControl w:val="false"/>
              <w:spacing w:lineRule="auto" w:line="240"/>
              <w:rPr>
                <w:rFonts w:ascii="Calibri" w:hAnsi="Calibri" w:eastAsia="Calibri" w:cs="Calibri"/>
                <w:color w:val="FF0000"/>
                <w:sz w:val="24"/>
                <w:szCs w:val="24"/>
              </w:rPr>
            </w:pPr>
            <w:r>
              <w:rPr>
                <w:rFonts w:eastAsia="Calibri" w:cs="Calibri" w:ascii="Calibri" w:hAnsi="Calibri"/>
                <w:color w:val="auto"/>
                <w:sz w:val="24"/>
                <w:szCs w:val="24"/>
              </w:rPr>
              <w:t>1</w:t>
            </w:r>
          </w:p>
        </w:tc>
      </w:tr>
      <w:tr>
        <w:trPr/>
        <w:tc>
          <w:tcPr>
            <w:tcW w:w="697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
              <w:widowControl w:val="false"/>
              <w:spacing w:lineRule="auto" w:line="240"/>
              <w:rPr>
                <w:rFonts w:ascii="Calibri" w:hAnsi="Calibri" w:eastAsia="Calibri" w:cs="Calibri"/>
                <w:b/>
                <w:b/>
                <w:sz w:val="24"/>
                <w:szCs w:val="24"/>
              </w:rPr>
            </w:pPr>
            <w:r>
              <w:rPr>
                <w:rFonts w:eastAsia="Calibri" w:cs="Calibri" w:ascii="Calibri" w:hAnsi="Calibri"/>
                <w:b/>
                <w:sz w:val="24"/>
                <w:szCs w:val="24"/>
              </w:rPr>
              <w:t>pessoas com deficiência</w:t>
            </w:r>
          </w:p>
        </w:tc>
        <w:tc>
          <w:tcPr>
            <w:tcW w:w="6975"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
              <w:widowControl w:val="false"/>
              <w:spacing w:lineRule="auto" w:line="240"/>
              <w:rPr>
                <w:rFonts w:ascii="Calibri" w:hAnsi="Calibri" w:eastAsia="Calibri" w:cs="Calibri"/>
                <w:color w:val="FF0000"/>
                <w:sz w:val="24"/>
                <w:szCs w:val="24"/>
              </w:rPr>
            </w:pPr>
            <w:r>
              <w:rPr>
                <w:rFonts w:eastAsia="Calibri" w:cs="Calibri" w:ascii="Calibri" w:hAnsi="Calibri"/>
                <w:color w:val="auto"/>
                <w:sz w:val="24"/>
                <w:szCs w:val="24"/>
              </w:rPr>
              <w:t>Pontuação com bonificação*</w:t>
            </w:r>
          </w:p>
        </w:tc>
      </w:tr>
    </w:tbl>
    <w:p>
      <w:pPr>
        <w:pStyle w:val="Normal"/>
        <w:tabs>
          <w:tab w:val="clear" w:pos="720"/>
          <w:tab w:val="center" w:pos="0" w:leader="none"/>
        </w:tabs>
        <w:spacing w:lineRule="auto" w:line="240" w:before="0" w:after="120"/>
        <w:jc w:val="both"/>
        <w:rPr>
          <w:rFonts w:ascii="Calibri" w:hAnsi="Calibri" w:eastAsia="Calibri" w:cs="Calibri"/>
          <w:sz w:val="24"/>
          <w:szCs w:val="24"/>
        </w:rPr>
      </w:pPr>
      <w:r>
        <w:rPr>
          <w:rFonts w:eastAsia="Calibri" w:cs="Calibri" w:ascii="Calibri" w:hAnsi="Calibri"/>
          <w:sz w:val="24"/>
          <w:szCs w:val="24"/>
        </w:rPr>
      </w:r>
    </w:p>
    <w:p>
      <w:pPr>
        <w:pStyle w:val="Normal"/>
        <w:tabs>
          <w:tab w:val="clear" w:pos="720"/>
          <w:tab w:val="center" w:pos="0" w:leader="none"/>
        </w:tabs>
        <w:spacing w:lineRule="auto" w:line="240" w:before="0" w:after="120"/>
        <w:jc w:val="both"/>
        <w:rPr>
          <w:rFonts w:ascii="Calibri" w:hAnsi="Calibri" w:eastAsia="Calibri" w:cs="Calibri"/>
          <w:sz w:val="24"/>
          <w:szCs w:val="24"/>
        </w:rPr>
      </w:pPr>
      <w:r>
        <w:rPr>
          <w:rFonts w:eastAsia="Calibri" w:cs="Calibri" w:ascii="Calibri" w:hAnsi="Calibri"/>
          <w:sz w:val="24"/>
          <w:szCs w:val="24"/>
        </w:rPr>
        <w:t>* Considerando que o cálculo proporcional às vagas reservadas para pessoas com deficiência ser inferior a 0,5, foi feita a opção pela pontuação com  bonificação para os inscritos nesta cota.</w:t>
      </w:r>
    </w:p>
    <w:p>
      <w:pPr>
        <w:pStyle w:val="Normal"/>
        <w:tabs>
          <w:tab w:val="clear" w:pos="720"/>
          <w:tab w:val="center" w:pos="0" w:leader="none"/>
        </w:tabs>
        <w:spacing w:lineRule="auto" w:line="240"/>
        <w:jc w:val="both"/>
        <w:rPr/>
      </w:pPr>
      <w:r>
        <w:rPr/>
      </w:r>
    </w:p>
    <w:sectPr>
      <w:headerReference w:type="default" r:id="rId2"/>
      <w:footerReference w:type="default" r:id="rId3"/>
      <w:type w:val="nextPage"/>
      <w:pgSz w:orient="landscape" w:w="16838" w:h="11906"/>
      <w:pgMar w:left="1440" w:right="1440" w:header="720" w:top="1440" w:footer="720" w:bottom="1440" w:gutter="0"/>
      <w:pgNumType w:start="1" w:fmt="decimal"/>
      <w:formProt w:val="false"/>
      <w:textDirection w:val="lrTb"/>
      <w:docGrid w:type="default" w:linePitch="100" w:charSpace="8192"/>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Arial">
    <w:charset w:val="00"/>
    <w:family w:val="roman"/>
    <w:pitch w:val="variable"/>
  </w:font>
  <w:font w:name="Liberation Sans">
    <w:altName w:val="Arial"/>
    <w:charset w:val="00"/>
    <w:family w:val="roman"/>
    <w:pitch w:val="variable"/>
  </w:font>
  <w:font w:name="Calibri">
    <w:charset w:val="00"/>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Rodap"/>
      <w:rPr/>
    </w:pPr>
    <w:r>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tabs>
        <w:tab w:val="clear" w:pos="720"/>
        <w:tab w:val="center" w:pos="4252" w:leader="none"/>
        <w:tab w:val="right" w:pos="8504" w:leader="none"/>
      </w:tabs>
      <w:spacing w:lineRule="auto" w:line="240"/>
      <w:rPr/>
    </w:pPr>
    <w:r>
      <w:rPr/>
      <mc:AlternateContent>
        <mc:Choice Requires="wps">
          <w:drawing>
            <wp:anchor behindDoc="1" distT="0" distB="0" distL="114300" distR="114300" simplePos="0" locked="0" layoutInCell="1" allowOverlap="1" relativeHeight="16">
              <wp:simplePos x="0" y="0"/>
              <wp:positionH relativeFrom="column">
                <wp:posOffset>-62865</wp:posOffset>
              </wp:positionH>
              <wp:positionV relativeFrom="paragraph">
                <wp:posOffset>393700</wp:posOffset>
              </wp:positionV>
              <wp:extent cx="5808980" cy="13335"/>
              <wp:effectExtent l="0" t="0" r="0" b="0"/>
              <wp:wrapNone/>
              <wp:docPr id="1" name="Figura1"/>
              <a:graphic xmlns:a="http://schemas.openxmlformats.org/drawingml/2006/main">
                <a:graphicData uri="http://schemas.microsoft.com/office/word/2010/wordprocessingShape">
                  <wps:wsp>
                    <wps:cNvSpPr/>
                    <wps:spPr>
                      <a:xfrm>
                        <a:off x="0" y="0"/>
                        <a:ext cx="5808240" cy="12600"/>
                      </a:xfrm>
                      <a:custGeom>
                        <a:avLst/>
                        <a:gdLst/>
                        <a:ahLst/>
                        <a:rect l="l" t="t" r="r" b="b"/>
                        <a:pathLst>
                          <a:path w="21600" h="21600">
                            <a:moveTo>
                              <a:pt x="0" y="0"/>
                            </a:moveTo>
                            <a:lnTo>
                              <a:pt x="21600" y="21600"/>
                            </a:lnTo>
                          </a:path>
                        </a:pathLst>
                      </a:custGeom>
                      <a:noFill/>
                      <a:ln w="9360">
                        <a:solidFill>
                          <a:srgbClr val="002060"/>
                        </a:solidFill>
                        <a:miter/>
                      </a:ln>
                    </wps:spPr>
                    <wps:style>
                      <a:lnRef idx="0"/>
                      <a:fillRef idx="0"/>
                      <a:effectRef idx="0"/>
                      <a:fontRef idx="minor"/>
                    </wps:style>
                    <wps:bodyPr/>
                  </wps:wsp>
                </a:graphicData>
              </a:graphic>
            </wp:anchor>
          </w:drawing>
        </mc:Choice>
        <mc:Fallback>
          <w:pict/>
        </mc:Fallback>
      </mc:AlternateContent>
      <w:drawing>
        <wp:anchor behindDoc="1" distT="0" distB="0" distL="114300" distR="114300" simplePos="0" locked="0" layoutInCell="1" allowOverlap="1" relativeHeight="6">
          <wp:simplePos x="0" y="0"/>
          <wp:positionH relativeFrom="column">
            <wp:posOffset>1516380</wp:posOffset>
          </wp:positionH>
          <wp:positionV relativeFrom="paragraph">
            <wp:posOffset>-186055</wp:posOffset>
          </wp:positionV>
          <wp:extent cx="4154170" cy="519430"/>
          <wp:effectExtent l="0" t="0" r="0" b="0"/>
          <wp:wrapNone/>
          <wp:docPr id="2" name="image1.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descr=""/>
                  <pic:cNvPicPr>
                    <a:picLocks noChangeAspect="1" noChangeArrowheads="1"/>
                  </pic:cNvPicPr>
                </pic:nvPicPr>
                <pic:blipFill>
                  <a:blip r:embed="rId1"/>
                  <a:srcRect l="0" t="8710" r="0" b="69081"/>
                  <a:stretch>
                    <a:fillRect/>
                  </a:stretch>
                </pic:blipFill>
                <pic:spPr bwMode="auto">
                  <a:xfrm>
                    <a:off x="0" y="0"/>
                    <a:ext cx="4154170" cy="519430"/>
                  </a:xfrm>
                  <a:prstGeom prst="rect">
                    <a:avLst/>
                  </a:prstGeom>
                </pic:spPr>
              </pic:pic>
            </a:graphicData>
          </a:graphic>
        </wp:anchor>
      </w:drawing>
      <w:drawing>
        <wp:anchor behindDoc="1" distT="0" distB="4445" distL="0" distR="0" simplePos="0" locked="0" layoutInCell="1" allowOverlap="1" relativeHeight="11">
          <wp:simplePos x="0" y="0"/>
          <wp:positionH relativeFrom="column">
            <wp:posOffset>114300</wp:posOffset>
          </wp:positionH>
          <wp:positionV relativeFrom="paragraph">
            <wp:posOffset>-126365</wp:posOffset>
          </wp:positionV>
          <wp:extent cx="1474470" cy="414655"/>
          <wp:effectExtent l="0" t="0" r="0" b="0"/>
          <wp:wrapSquare wrapText="largest"/>
          <wp:docPr id="3" name="Figura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ura2" descr=""/>
                  <pic:cNvPicPr>
                    <a:picLocks noChangeAspect="1" noChangeArrowheads="1"/>
                  </pic:cNvPicPr>
                </pic:nvPicPr>
                <pic:blipFill>
                  <a:blip r:embed="rId2"/>
                  <a:stretch>
                    <a:fillRect/>
                  </a:stretch>
                </pic:blipFill>
                <pic:spPr bwMode="auto">
                  <a:xfrm>
                    <a:off x="0" y="0"/>
                    <a:ext cx="1474470" cy="414655"/>
                  </a:xfrm>
                  <a:prstGeom prst="rect">
                    <a:avLst/>
                  </a:prstGeom>
                </pic:spPr>
              </pic:pic>
            </a:graphicData>
          </a:graphic>
        </wp:anchor>
      </w:drawing>
    </w:r>
    <w:bookmarkStart w:id="0" w:name="_GoBack"/>
    <w:bookmarkStart w:id="1" w:name="_GoBack"/>
    <w:bookmarkEnd w:id="1"/>
  </w:p>
  <w:p>
    <w:pPr>
      <w:pStyle w:val="Normal"/>
      <w:rPr/>
    </w:pPr>
    <w:r>
      <w:rPr/>
    </w:r>
  </w:p>
  <w:p>
    <w:pPr>
      <w:pStyle w:val="Normal"/>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bullet"/>
      <w:suff w:val="nothing"/>
      <w:lvlText w:val=""/>
      <w:lvlJc w:val="left"/>
      <w:pPr>
        <w:ind w:left="707" w:hanging="0"/>
      </w:pPr>
      <w:rPr>
        <w:rFonts w:ascii="Symbol" w:hAnsi="Symbol" w:cs="Symbol" w:hint="default"/>
        <w:sz w:val="28"/>
        <w:b w:val="false"/>
        <w:rFonts w:cs="OpenSymbol"/>
      </w:rPr>
    </w:lvl>
    <w:lvl w:ilvl="1">
      <w:start w:val="1"/>
      <w:numFmt w:val="bullet"/>
      <w:lvlText w:val=""/>
      <w:lvlJc w:val="left"/>
      <w:pPr>
        <w:tabs>
          <w:tab w:val="num" w:pos="1414"/>
        </w:tabs>
        <w:ind w:left="1414" w:hanging="283"/>
      </w:pPr>
      <w:rPr>
        <w:rFonts w:ascii="Symbol" w:hAnsi="Symbol" w:cs="Symbol" w:hint="default"/>
        <w:rFonts w:cs="OpenSymbol"/>
      </w:rPr>
    </w:lvl>
    <w:lvl w:ilvl="2">
      <w:start w:val="1"/>
      <w:numFmt w:val="bullet"/>
      <w:lvlText w:val=""/>
      <w:lvlJc w:val="left"/>
      <w:pPr>
        <w:tabs>
          <w:tab w:val="num" w:pos="2121"/>
        </w:tabs>
        <w:ind w:left="2121" w:hanging="283"/>
      </w:pPr>
      <w:rPr>
        <w:rFonts w:ascii="Symbol" w:hAnsi="Symbol" w:cs="Symbol" w:hint="default"/>
        <w:rFonts w:cs="OpenSymbol"/>
      </w:rPr>
    </w:lvl>
    <w:lvl w:ilvl="3">
      <w:start w:val="1"/>
      <w:numFmt w:val="bullet"/>
      <w:lvlText w:val=""/>
      <w:lvlJc w:val="left"/>
      <w:pPr>
        <w:tabs>
          <w:tab w:val="num" w:pos="2828"/>
        </w:tabs>
        <w:ind w:left="2828" w:hanging="283"/>
      </w:pPr>
      <w:rPr>
        <w:rFonts w:ascii="Symbol" w:hAnsi="Symbol" w:cs="Symbol" w:hint="default"/>
        <w:rFonts w:cs="OpenSymbol"/>
      </w:rPr>
    </w:lvl>
    <w:lvl w:ilvl="4">
      <w:start w:val="1"/>
      <w:numFmt w:val="bullet"/>
      <w:lvlText w:val=""/>
      <w:lvlJc w:val="left"/>
      <w:pPr>
        <w:tabs>
          <w:tab w:val="num" w:pos="3535"/>
        </w:tabs>
        <w:ind w:left="3535" w:hanging="283"/>
      </w:pPr>
      <w:rPr>
        <w:rFonts w:ascii="Symbol" w:hAnsi="Symbol" w:cs="Symbol" w:hint="default"/>
        <w:rFonts w:cs="OpenSymbol"/>
      </w:rPr>
    </w:lvl>
    <w:lvl w:ilvl="5">
      <w:start w:val="1"/>
      <w:numFmt w:val="bullet"/>
      <w:lvlText w:val=""/>
      <w:lvlJc w:val="left"/>
      <w:pPr>
        <w:tabs>
          <w:tab w:val="num" w:pos="4242"/>
        </w:tabs>
        <w:ind w:left="4242" w:hanging="283"/>
      </w:pPr>
      <w:rPr>
        <w:rFonts w:ascii="Symbol" w:hAnsi="Symbol" w:cs="Symbol" w:hint="default"/>
        <w:rFonts w:cs="OpenSymbol"/>
      </w:rPr>
    </w:lvl>
    <w:lvl w:ilvl="6">
      <w:start w:val="1"/>
      <w:numFmt w:val="bullet"/>
      <w:lvlText w:val=""/>
      <w:lvlJc w:val="left"/>
      <w:pPr>
        <w:tabs>
          <w:tab w:val="num" w:pos="4949"/>
        </w:tabs>
        <w:ind w:left="4949" w:hanging="283"/>
      </w:pPr>
      <w:rPr>
        <w:rFonts w:ascii="Symbol" w:hAnsi="Symbol" w:cs="Symbol" w:hint="default"/>
        <w:rFonts w:cs="OpenSymbol"/>
      </w:rPr>
    </w:lvl>
    <w:lvl w:ilvl="7">
      <w:start w:val="1"/>
      <w:numFmt w:val="bullet"/>
      <w:lvlText w:val=""/>
      <w:lvlJc w:val="left"/>
      <w:pPr>
        <w:tabs>
          <w:tab w:val="num" w:pos="5656"/>
        </w:tabs>
        <w:ind w:left="5656" w:hanging="283"/>
      </w:pPr>
      <w:rPr>
        <w:rFonts w:ascii="Symbol" w:hAnsi="Symbol" w:cs="Symbol" w:hint="default"/>
        <w:rFonts w:cs="OpenSymbol"/>
      </w:rPr>
    </w:lvl>
    <w:lvl w:ilvl="8">
      <w:start w:val="1"/>
      <w:numFmt w:val="bullet"/>
      <w:lvlText w:val=""/>
      <w:lvlJc w:val="left"/>
      <w:pPr>
        <w:tabs>
          <w:tab w:val="num" w:pos="6363"/>
        </w:tabs>
        <w:ind w:left="6363" w:hanging="283"/>
      </w:pPr>
      <w:rPr>
        <w:rFonts w:ascii="Symbol" w:hAnsi="Symbol" w:cs="Symbol" w:hint="default"/>
        <w:rFonts w:cs="OpenSymbol"/>
      </w:r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20"/>
  <w:defaultTabStop w:val="720"/>
  <w:compat/>
  <w:themeFontLang w:val="pt-BR"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Arial" w:hAnsi="Arial" w:eastAsia="Arial" w:cs="Arial"/>
        <w:szCs w:val="22"/>
        <w:lang w:val="pt-BR" w:eastAsia="pt-BR"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9049bc"/>
    <w:pPr>
      <w:widowControl/>
      <w:bidi w:val="0"/>
      <w:spacing w:lineRule="auto" w:line="276"/>
      <w:jc w:val="left"/>
    </w:pPr>
    <w:rPr>
      <w:rFonts w:ascii="Arial" w:hAnsi="Arial" w:eastAsia="Arial" w:cs="Arial"/>
      <w:color w:val="auto"/>
      <w:kern w:val="0"/>
      <w:sz w:val="22"/>
      <w:szCs w:val="22"/>
      <w:lang w:val="pt-BR" w:eastAsia="pt-BR" w:bidi="ar-SA"/>
    </w:rPr>
  </w:style>
  <w:style w:type="paragraph" w:styleId="Ttulo1" w:customStyle="1">
    <w:name w:val="Heading 1"/>
    <w:basedOn w:val="Normal"/>
    <w:next w:val="Normal"/>
    <w:qFormat/>
    <w:rsid w:val="009049bc"/>
    <w:pPr>
      <w:keepNext w:val="true"/>
      <w:keepLines/>
      <w:spacing w:before="400" w:after="120"/>
      <w:outlineLvl w:val="0"/>
    </w:pPr>
    <w:rPr>
      <w:sz w:val="40"/>
      <w:szCs w:val="40"/>
    </w:rPr>
  </w:style>
  <w:style w:type="paragraph" w:styleId="Ttulo2" w:customStyle="1">
    <w:name w:val="Heading 2"/>
    <w:basedOn w:val="Normal"/>
    <w:next w:val="Normal"/>
    <w:qFormat/>
    <w:rsid w:val="009049bc"/>
    <w:pPr>
      <w:keepNext w:val="true"/>
      <w:keepLines/>
      <w:spacing w:before="360" w:after="120"/>
      <w:outlineLvl w:val="1"/>
    </w:pPr>
    <w:rPr>
      <w:sz w:val="32"/>
      <w:szCs w:val="32"/>
    </w:rPr>
  </w:style>
  <w:style w:type="paragraph" w:styleId="Ttulo3" w:customStyle="1">
    <w:name w:val="Heading 3"/>
    <w:basedOn w:val="Normal"/>
    <w:next w:val="Normal"/>
    <w:qFormat/>
    <w:rsid w:val="009049bc"/>
    <w:pPr>
      <w:keepNext w:val="true"/>
      <w:keepLines/>
      <w:spacing w:before="320" w:after="80"/>
      <w:outlineLvl w:val="2"/>
    </w:pPr>
    <w:rPr>
      <w:color w:val="434343"/>
      <w:sz w:val="28"/>
      <w:szCs w:val="28"/>
    </w:rPr>
  </w:style>
  <w:style w:type="paragraph" w:styleId="Ttulo4" w:customStyle="1">
    <w:name w:val="Heading 4"/>
    <w:basedOn w:val="Normal"/>
    <w:next w:val="Normal"/>
    <w:qFormat/>
    <w:rsid w:val="009049bc"/>
    <w:pPr>
      <w:keepNext w:val="true"/>
      <w:keepLines/>
      <w:spacing w:before="280" w:after="80"/>
      <w:outlineLvl w:val="3"/>
    </w:pPr>
    <w:rPr>
      <w:color w:val="666666"/>
      <w:sz w:val="24"/>
      <w:szCs w:val="24"/>
    </w:rPr>
  </w:style>
  <w:style w:type="paragraph" w:styleId="Ttulo5" w:customStyle="1">
    <w:name w:val="Heading 5"/>
    <w:basedOn w:val="Normal"/>
    <w:next w:val="Normal"/>
    <w:qFormat/>
    <w:rsid w:val="009049bc"/>
    <w:pPr>
      <w:keepNext w:val="true"/>
      <w:keepLines/>
      <w:spacing w:before="240" w:after="80"/>
      <w:outlineLvl w:val="4"/>
    </w:pPr>
    <w:rPr>
      <w:color w:val="666666"/>
    </w:rPr>
  </w:style>
  <w:style w:type="paragraph" w:styleId="Ttulo6" w:customStyle="1">
    <w:name w:val="Heading 6"/>
    <w:basedOn w:val="Normal"/>
    <w:next w:val="Normal"/>
    <w:qFormat/>
    <w:rsid w:val="009049bc"/>
    <w:pPr>
      <w:keepNext w:val="true"/>
      <w:keepLines/>
      <w:spacing w:before="240" w:after="80"/>
      <w:outlineLvl w:val="5"/>
    </w:pPr>
    <w:rPr>
      <w:i/>
      <w:color w:val="666666"/>
    </w:rPr>
  </w:style>
  <w:style w:type="character" w:styleId="DefaultParagraphFont" w:default="1">
    <w:name w:val="Default Paragraph Font"/>
    <w:uiPriority w:val="1"/>
    <w:semiHidden/>
    <w:unhideWhenUsed/>
    <w:qFormat/>
    <w:rPr/>
  </w:style>
  <w:style w:type="character" w:styleId="CabealhoChar" w:customStyle="1">
    <w:name w:val="Cabeçalho Char"/>
    <w:basedOn w:val="DefaultParagraphFont"/>
    <w:link w:val="Header"/>
    <w:uiPriority w:val="99"/>
    <w:qFormat/>
    <w:rsid w:val="00046abe"/>
    <w:rPr/>
  </w:style>
  <w:style w:type="character" w:styleId="RodapChar" w:customStyle="1">
    <w:name w:val="Rodapé Char"/>
    <w:basedOn w:val="DefaultParagraphFont"/>
    <w:link w:val="Footer"/>
    <w:uiPriority w:val="99"/>
    <w:qFormat/>
    <w:rsid w:val="00046abe"/>
    <w:rPr/>
  </w:style>
  <w:style w:type="character" w:styleId="Nfaseforte" w:customStyle="1">
    <w:name w:val="Ênfase forte"/>
    <w:qFormat/>
    <w:rsid w:val="009049bc"/>
    <w:rPr>
      <w:b/>
      <w:bCs/>
    </w:rPr>
  </w:style>
  <w:style w:type="character" w:styleId="ListLabel1" w:customStyle="1">
    <w:name w:val="ListLabel 1"/>
    <w:qFormat/>
    <w:rsid w:val="009049bc"/>
    <w:rPr>
      <w:rFonts w:ascii="Times New Roman" w:hAnsi="Times New Roman" w:cs="OpenSymbol"/>
      <w:b w:val="false"/>
      <w:sz w:val="28"/>
    </w:rPr>
  </w:style>
  <w:style w:type="character" w:styleId="ListLabel2" w:customStyle="1">
    <w:name w:val="ListLabel 2"/>
    <w:qFormat/>
    <w:rsid w:val="009049bc"/>
    <w:rPr>
      <w:rFonts w:cs="OpenSymbol"/>
    </w:rPr>
  </w:style>
  <w:style w:type="character" w:styleId="ListLabel3" w:customStyle="1">
    <w:name w:val="ListLabel 3"/>
    <w:qFormat/>
    <w:rsid w:val="009049bc"/>
    <w:rPr>
      <w:rFonts w:cs="OpenSymbol"/>
    </w:rPr>
  </w:style>
  <w:style w:type="character" w:styleId="ListLabel4" w:customStyle="1">
    <w:name w:val="ListLabel 4"/>
    <w:qFormat/>
    <w:rsid w:val="009049bc"/>
    <w:rPr>
      <w:rFonts w:cs="OpenSymbol"/>
    </w:rPr>
  </w:style>
  <w:style w:type="character" w:styleId="ListLabel5" w:customStyle="1">
    <w:name w:val="ListLabel 5"/>
    <w:qFormat/>
    <w:rsid w:val="009049bc"/>
    <w:rPr>
      <w:rFonts w:cs="OpenSymbol"/>
    </w:rPr>
  </w:style>
  <w:style w:type="character" w:styleId="ListLabel6" w:customStyle="1">
    <w:name w:val="ListLabel 6"/>
    <w:qFormat/>
    <w:rsid w:val="009049bc"/>
    <w:rPr>
      <w:rFonts w:cs="OpenSymbol"/>
    </w:rPr>
  </w:style>
  <w:style w:type="character" w:styleId="ListLabel7" w:customStyle="1">
    <w:name w:val="ListLabel 7"/>
    <w:qFormat/>
    <w:rsid w:val="009049bc"/>
    <w:rPr>
      <w:rFonts w:cs="OpenSymbol"/>
    </w:rPr>
  </w:style>
  <w:style w:type="character" w:styleId="ListLabel8" w:customStyle="1">
    <w:name w:val="ListLabel 8"/>
    <w:qFormat/>
    <w:rsid w:val="009049bc"/>
    <w:rPr>
      <w:rFonts w:cs="OpenSymbol"/>
    </w:rPr>
  </w:style>
  <w:style w:type="character" w:styleId="ListLabel9" w:customStyle="1">
    <w:name w:val="ListLabel 9"/>
    <w:qFormat/>
    <w:rsid w:val="009049bc"/>
    <w:rPr>
      <w:rFonts w:cs="OpenSymbol"/>
    </w:rPr>
  </w:style>
  <w:style w:type="character" w:styleId="ListLabel10">
    <w:name w:val="ListLabel 10"/>
    <w:qFormat/>
    <w:rPr>
      <w:rFonts w:cs="OpenSymbol"/>
      <w:b w:val="false"/>
      <w:sz w:val="28"/>
    </w:rPr>
  </w:style>
  <w:style w:type="character" w:styleId="ListLabel11">
    <w:name w:val="ListLabel 11"/>
    <w:qFormat/>
    <w:rPr>
      <w:rFonts w:cs="OpenSymbol"/>
    </w:rPr>
  </w:style>
  <w:style w:type="character" w:styleId="ListLabel12">
    <w:name w:val="ListLabel 12"/>
    <w:qFormat/>
    <w:rPr>
      <w:rFonts w:cs="OpenSymbol"/>
    </w:rPr>
  </w:style>
  <w:style w:type="character" w:styleId="ListLabel13">
    <w:name w:val="ListLabel 13"/>
    <w:qFormat/>
    <w:rPr>
      <w:rFonts w:cs="OpenSymbol"/>
    </w:rPr>
  </w:style>
  <w:style w:type="character" w:styleId="ListLabel14">
    <w:name w:val="ListLabel 14"/>
    <w:qFormat/>
    <w:rPr>
      <w:rFonts w:cs="OpenSymbol"/>
    </w:rPr>
  </w:style>
  <w:style w:type="character" w:styleId="ListLabel15">
    <w:name w:val="ListLabel 15"/>
    <w:qFormat/>
    <w:rPr>
      <w:rFonts w:cs="OpenSymbol"/>
    </w:rPr>
  </w:style>
  <w:style w:type="character" w:styleId="ListLabel16">
    <w:name w:val="ListLabel 16"/>
    <w:qFormat/>
    <w:rPr>
      <w:rFonts w:cs="OpenSymbol"/>
    </w:rPr>
  </w:style>
  <w:style w:type="character" w:styleId="ListLabel17">
    <w:name w:val="ListLabel 17"/>
    <w:qFormat/>
    <w:rPr>
      <w:rFonts w:cs="OpenSymbol"/>
    </w:rPr>
  </w:style>
  <w:style w:type="character" w:styleId="ListLabel18">
    <w:name w:val="ListLabel 18"/>
    <w:qFormat/>
    <w:rPr>
      <w:rFonts w:cs="OpenSymbol"/>
    </w:rPr>
  </w:style>
  <w:style w:type="character" w:styleId="ListLabel19">
    <w:name w:val="ListLabel 19"/>
    <w:qFormat/>
    <w:rPr>
      <w:rFonts w:cs="OpenSymbol"/>
      <w:b w:val="false"/>
      <w:sz w:val="28"/>
    </w:rPr>
  </w:style>
  <w:style w:type="character" w:styleId="ListLabel20">
    <w:name w:val="ListLabel 20"/>
    <w:qFormat/>
    <w:rPr>
      <w:rFonts w:cs="OpenSymbol"/>
    </w:rPr>
  </w:style>
  <w:style w:type="character" w:styleId="ListLabel21">
    <w:name w:val="ListLabel 21"/>
    <w:qFormat/>
    <w:rPr>
      <w:rFonts w:cs="OpenSymbol"/>
    </w:rPr>
  </w:style>
  <w:style w:type="character" w:styleId="ListLabel22">
    <w:name w:val="ListLabel 22"/>
    <w:qFormat/>
    <w:rPr>
      <w:rFonts w:cs="OpenSymbol"/>
    </w:rPr>
  </w:style>
  <w:style w:type="character" w:styleId="ListLabel23">
    <w:name w:val="ListLabel 23"/>
    <w:qFormat/>
    <w:rPr>
      <w:rFonts w:cs="OpenSymbol"/>
    </w:rPr>
  </w:style>
  <w:style w:type="character" w:styleId="ListLabel24">
    <w:name w:val="ListLabel 24"/>
    <w:qFormat/>
    <w:rPr>
      <w:rFonts w:cs="OpenSymbol"/>
    </w:rPr>
  </w:style>
  <w:style w:type="character" w:styleId="ListLabel25">
    <w:name w:val="ListLabel 25"/>
    <w:qFormat/>
    <w:rPr>
      <w:rFonts w:cs="OpenSymbol"/>
    </w:rPr>
  </w:style>
  <w:style w:type="character" w:styleId="ListLabel26">
    <w:name w:val="ListLabel 26"/>
    <w:qFormat/>
    <w:rPr>
      <w:rFonts w:cs="OpenSymbol"/>
    </w:rPr>
  </w:style>
  <w:style w:type="character" w:styleId="ListLabel27">
    <w:name w:val="ListLabel 27"/>
    <w:qFormat/>
    <w:rPr>
      <w:rFonts w:cs="OpenSymbol"/>
    </w:rPr>
  </w:style>
  <w:style w:type="paragraph" w:styleId="Ttulo">
    <w:name w:val="Título"/>
    <w:basedOn w:val="Normal"/>
    <w:next w:val="Corpodotexto"/>
    <w:qFormat/>
    <w:pPr>
      <w:keepNext w:val="true"/>
      <w:spacing w:before="240" w:after="120"/>
    </w:pPr>
    <w:rPr>
      <w:rFonts w:ascii="Liberation Sans" w:hAnsi="Liberation Sans" w:eastAsia="Microsoft YaHei" w:cs="Mangal"/>
      <w:sz w:val="28"/>
      <w:szCs w:val="28"/>
    </w:rPr>
  </w:style>
  <w:style w:type="paragraph" w:styleId="Corpodotexto">
    <w:name w:val="Body Text"/>
    <w:basedOn w:val="Normal"/>
    <w:rsid w:val="009049bc"/>
    <w:pPr>
      <w:spacing w:before="0" w:after="140"/>
    </w:pPr>
    <w:rPr/>
  </w:style>
  <w:style w:type="paragraph" w:styleId="Lista">
    <w:name w:val="List"/>
    <w:basedOn w:val="Corpodotexto"/>
    <w:rsid w:val="009049bc"/>
    <w:pPr/>
    <w:rPr>
      <w:rFonts w:cs="Mangal"/>
    </w:rPr>
  </w:style>
  <w:style w:type="paragraph" w:styleId="Legenda" w:customStyle="1">
    <w:name w:val="Caption"/>
    <w:basedOn w:val="Normal"/>
    <w:qFormat/>
    <w:rsid w:val="009049bc"/>
    <w:pPr>
      <w:suppressLineNumbers/>
      <w:spacing w:before="120" w:after="120"/>
    </w:pPr>
    <w:rPr>
      <w:rFonts w:cs="Mangal"/>
      <w:i/>
      <w:iCs/>
      <w:sz w:val="24"/>
      <w:szCs w:val="24"/>
    </w:rPr>
  </w:style>
  <w:style w:type="paragraph" w:styleId="Ndice" w:customStyle="1">
    <w:name w:val="Índice"/>
    <w:basedOn w:val="Normal"/>
    <w:qFormat/>
    <w:rsid w:val="009049bc"/>
    <w:pPr>
      <w:suppressLineNumbers/>
    </w:pPr>
    <w:rPr>
      <w:rFonts w:cs="Mangal"/>
    </w:rPr>
  </w:style>
  <w:style w:type="paragraph" w:styleId="Ttulododocumento">
    <w:name w:val="Title"/>
    <w:basedOn w:val="Normal"/>
    <w:next w:val="Corpodotexto"/>
    <w:qFormat/>
    <w:rsid w:val="009049bc"/>
    <w:pPr>
      <w:keepNext w:val="true"/>
      <w:keepLines/>
      <w:spacing w:before="0" w:after="60"/>
    </w:pPr>
    <w:rPr>
      <w:sz w:val="52"/>
      <w:szCs w:val="52"/>
    </w:rPr>
  </w:style>
  <w:style w:type="paragraph" w:styleId="Subttulo">
    <w:name w:val="Subtitle"/>
    <w:basedOn w:val="Normal"/>
    <w:next w:val="Normal"/>
    <w:qFormat/>
    <w:rsid w:val="009049bc"/>
    <w:pPr>
      <w:keepNext w:val="true"/>
      <w:keepLines/>
      <w:spacing w:before="0" w:after="320"/>
    </w:pPr>
    <w:rPr>
      <w:color w:val="666666"/>
      <w:sz w:val="30"/>
      <w:szCs w:val="30"/>
    </w:rPr>
  </w:style>
  <w:style w:type="paragraph" w:styleId="Cabealho" w:customStyle="1">
    <w:name w:val="Header"/>
    <w:basedOn w:val="Normal"/>
    <w:link w:val="CabealhoChar"/>
    <w:uiPriority w:val="99"/>
    <w:unhideWhenUsed/>
    <w:rsid w:val="00046abe"/>
    <w:pPr>
      <w:tabs>
        <w:tab w:val="clear" w:pos="720"/>
        <w:tab w:val="center" w:pos="4252" w:leader="none"/>
        <w:tab w:val="right" w:pos="8504" w:leader="none"/>
      </w:tabs>
      <w:spacing w:lineRule="auto" w:line="240"/>
    </w:pPr>
    <w:rPr/>
  </w:style>
  <w:style w:type="paragraph" w:styleId="Rodap" w:customStyle="1">
    <w:name w:val="Footer"/>
    <w:basedOn w:val="Normal"/>
    <w:link w:val="RodapChar"/>
    <w:uiPriority w:val="99"/>
    <w:unhideWhenUsed/>
    <w:rsid w:val="00046abe"/>
    <w:pPr>
      <w:tabs>
        <w:tab w:val="clear" w:pos="720"/>
        <w:tab w:val="center" w:pos="4252" w:leader="none"/>
        <w:tab w:val="right" w:pos="8504" w:leader="none"/>
      </w:tabs>
      <w:spacing w:lineRule="auto" w:line="240"/>
    </w:pPr>
    <w:rPr/>
  </w:style>
  <w:style w:type="paragraph" w:styleId="ListParagraph">
    <w:name w:val="List Paragraph"/>
    <w:basedOn w:val="Normal"/>
    <w:uiPriority w:val="34"/>
    <w:qFormat/>
    <w:rsid w:val="00485257"/>
    <w:pPr>
      <w:spacing w:before="0" w:after="0"/>
      <w:ind w:left="720" w:hanging="0"/>
      <w:contextualSpacing/>
    </w:pPr>
    <w:rPr/>
  </w:style>
  <w:style w:type="numbering" w:styleId="NoList" w:default="1">
    <w:name w:val="No List"/>
    <w:uiPriority w:val="99"/>
    <w:semiHidden/>
    <w:unhideWhenUsed/>
    <w:qFormat/>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table" w:customStyle="1" w:styleId="TableNormal">
    <w:name w:val="Table Normal"/>
    <w:rsid w:val="009049bc"/>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footer" Target="footer1.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
</Relationships>
</file>

<file path=word/_rels/header1.xml.rels><?xml version="1.0" encoding="UTF-8"?>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TotalTime>
  <Application>LibreOffice/6.1.2.1$Windows_x86 LibreOffice_project/65905a128db06ba48db947242809d14d3f9a93fe</Application>
  <Pages>5</Pages>
  <Words>1158</Words>
  <Characters>6295</Characters>
  <CharactersWithSpaces>7375</CharactersWithSpaces>
  <Paragraphs>72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2024-06-27T19:45:00Z</dcterms:created>
  <dc:creator/>
  <dc:description/>
  <dc:language>pt-BR</dc:language>
  <cp:lastModifiedBy/>
  <dcterms:modified xsi:type="dcterms:W3CDTF">2024-07-31T16:54:20Z</dcterms:modified>
  <cp:revision>7</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