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rpodotexto"/>
        <w:shd w:val="clear" w:color="auto" w:fill="FFFFFF"/>
        <w:jc w:val="center"/>
        <w:rPr/>
      </w:pP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  <w:lang w:val="pt-BR"/>
        </w:rPr>
        <w:t xml:space="preserve">CHAMAMENTO PÚBLICO 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  <w:lang w:val="pt-BR"/>
        </w:rPr>
        <w:t>PNAB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  <w:lang w:val="pt-BR"/>
        </w:rPr>
        <w:t xml:space="preserve"> Nº 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  <w:lang w:val="pt-BR"/>
        </w:rPr>
        <w:t xml:space="preserve">001/2024  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  <w:lang w:val="pt-BR"/>
        </w:rPr>
        <w:t>PARA FOMENTO À REDE MUNICIPAL DE PONTOS DE CULTURA DE LONDRINA</w:t>
      </w:r>
    </w:p>
    <w:p>
      <w:pPr>
        <w:pStyle w:val="Corpodotexto"/>
        <w:widowControl/>
        <w:bidi w:val="0"/>
        <w:spacing w:before="96" w:after="96"/>
        <w:ind w:left="96" w:right="96" w:hanging="0"/>
        <w:jc w:val="center"/>
        <w:rPr/>
      </w:pPr>
      <w:r>
        <w:rPr>
          <w:rStyle w:val="Nfaseforte"/>
          <w:rFonts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</w:rPr>
        <w:t>Política Nacional Aldir Blanc 2024</w:t>
      </w:r>
    </w:p>
    <w:p>
      <w:pPr>
        <w:pStyle w:val="Corpodotexto"/>
        <w:widowControl/>
        <w:spacing w:before="120" w:after="0"/>
        <w:ind w:left="120" w:right="120" w:hanging="0"/>
        <w:jc w:val="center"/>
        <w:rPr/>
      </w:pPr>
      <w:bookmarkStart w:id="0" w:name="__DdeLink__18981_3081250592"/>
      <w:r>
        <w:rPr>
          <w:rFonts w:ascii="Times New Roman" w:hAnsi="Times New Roman"/>
          <w:b/>
          <w:i w:val="false"/>
          <w:caps w:val="false"/>
          <w:smallCaps w:val="false"/>
          <w:color w:val="000000"/>
          <w:spacing w:val="0"/>
          <w:sz w:val="26"/>
        </w:rPr>
        <w:t>CULTURA VIVA DO TAMANHO DO BRASIL!</w:t>
      </w:r>
      <w:bookmarkEnd w:id="0"/>
    </w:p>
    <w:p>
      <w:pPr>
        <w:pStyle w:val="Corpodotexto"/>
        <w:widowControl/>
        <w:spacing w:before="120" w:after="120"/>
        <w:ind w:left="120" w:right="120" w:hanging="0"/>
        <w:jc w:val="center"/>
        <w:rPr>
          <w:rFonts w:ascii="Times New Roman" w:hAnsi="Times New Roman"/>
          <w:b/>
          <w:b/>
          <w:i w:val="false"/>
          <w:i w:val="false"/>
          <w:caps w:val="false"/>
          <w:smallCaps w:val="false"/>
          <w:color w:val="000000"/>
          <w:spacing w:val="0"/>
          <w:sz w:val="26"/>
        </w:rPr>
      </w:pPr>
      <w:bookmarkStart w:id="1" w:name="__DdeLink__253_3137165864"/>
      <w:r>
        <w:rPr>
          <w:rFonts w:ascii="Times New Roman" w:hAnsi="Times New Roman"/>
          <w:b/>
          <w:i w:val="false"/>
          <w:caps w:val="false"/>
          <w:smallCaps w:val="false"/>
          <w:color w:val="000000"/>
          <w:spacing w:val="0"/>
          <w:sz w:val="26"/>
        </w:rPr>
        <w:t>FOMENTO A PROJETOS CONTINUADOS DE PONTOS DE CULTURA</w:t>
      </w:r>
      <w:bookmarkEnd w:id="1"/>
    </w:p>
    <w:p>
      <w:pPr>
        <w:pStyle w:val="Normal"/>
        <w:tabs>
          <w:tab w:val="clear" w:pos="720"/>
          <w:tab w:val="center" w:pos="0" w:leader="none"/>
        </w:tabs>
        <w:spacing w:lineRule="auto" w:line="240" w:before="12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  <w:u w:val="single"/>
          <w:lang w:val="pt-BR"/>
        </w:rPr>
        <w:t>ANEXO 01 - CATEGORIAS E COTAS</w:t>
      </w:r>
    </w:p>
    <w:p>
      <w:pPr>
        <w:pStyle w:val="Normal"/>
        <w:tabs>
          <w:tab w:val="clear" w:pos="720"/>
          <w:tab w:val="center" w:pos="0" w:leader="none"/>
        </w:tabs>
        <w:spacing w:lineRule="auto" w:line="240" w:before="0" w:after="120"/>
        <w:jc w:val="both"/>
        <w:rPr>
          <w:rFonts w:ascii="Calibri" w:hAnsi="Calibri" w:eastAsia="Calibri" w:cs="Calibri"/>
          <w:b/>
          <w:b/>
          <w:sz w:val="24"/>
          <w:szCs w:val="24"/>
          <w:lang w:val="pt-BR"/>
        </w:rPr>
      </w:pPr>
      <w:r>
        <w:rPr>
          <w:rFonts w:eastAsia="Calibri" w:cs="Calibri" w:ascii="Calibri" w:hAnsi="Calibri"/>
          <w:b/>
          <w:sz w:val="24"/>
          <w:szCs w:val="24"/>
          <w:lang w:val="pt-BR"/>
        </w:rPr>
      </w:r>
      <w:bookmarkStart w:id="2" w:name="_GoBack"/>
      <w:bookmarkStart w:id="3" w:name="_GoBack"/>
      <w:bookmarkEnd w:id="3"/>
    </w:p>
    <w:p>
      <w:pPr>
        <w:pStyle w:val="Corpodotexto"/>
        <w:tabs>
          <w:tab w:val="clear" w:pos="720"/>
          <w:tab w:val="center" w:pos="0" w:leader="none"/>
        </w:tabs>
        <w:spacing w:lineRule="auto" w:line="240" w:before="0" w:after="120"/>
        <w:jc w:val="both"/>
        <w:rPr>
          <w:rFonts w:ascii="Times New Roman" w:hAnsi="Times New Roman" w:eastAsia="Calibri" w:cs="Calibri"/>
          <w:b/>
          <w:b/>
          <w:i w:val="false"/>
          <w:i w:val="false"/>
          <w:caps w:val="false"/>
          <w:smallCaps w:val="false"/>
          <w:color w:val="000000"/>
          <w:spacing w:val="0"/>
          <w:sz w:val="28"/>
          <w:szCs w:val="24"/>
          <w:u w:val="single"/>
          <w:lang w:val="pt-BR"/>
        </w:rPr>
      </w:pPr>
      <w:r>
        <w:rPr>
          <w:rFonts w:eastAsia="Calibri" w:cs="Calibri" w:ascii="Calibri" w:hAnsi="Calibri"/>
          <w:b/>
          <w:i w:val="false"/>
          <w:caps w:val="false"/>
          <w:smallCaps w:val="false"/>
          <w:color w:val="auto"/>
          <w:spacing w:val="0"/>
          <w:sz w:val="24"/>
          <w:szCs w:val="24"/>
          <w:u w:val="single"/>
          <w:lang w:val="pt-BR"/>
        </w:rPr>
        <w:t>CATEGORIAS</w:t>
      </w:r>
    </w:p>
    <w:p>
      <w:pPr>
        <w:pStyle w:val="Corpodotexto"/>
        <w:widowControl/>
        <w:spacing w:lineRule="atLeast" w:line="192"/>
        <w:ind w:left="0" w:right="0" w:hanging="0"/>
        <w:jc w:val="both"/>
        <w:rPr/>
      </w:pPr>
      <w:r>
        <w:rPr>
          <w:rStyle w:val="Nfaseforte"/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  <w:highlight w:val="white"/>
        </w:rPr>
        <w:t>I - Culturas Populares e Tradicionais:</w:t>
      </w: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  <w:highlight w:val="white"/>
        </w:rPr>
        <w:t> deverão ser selecionados, no mínimo, 30% (trinta por cento) de projetos apresentados por entidades com trajetória declarada e comprovadamente ligadas às culturas populares e tradicionais, e que tenham seus planos de trabalho também com ações voltadas ao segmento. </w:t>
      </w:r>
    </w:p>
    <w:p>
      <w:pPr>
        <w:pStyle w:val="Corpodotexto"/>
        <w:widowControl/>
        <w:spacing w:lineRule="atLeast" w:line="192"/>
        <w:ind w:left="0" w:right="0" w:hanging="0"/>
        <w:jc w:val="both"/>
        <w:rPr/>
      </w:pPr>
      <w:r>
        <w:rPr>
          <w:rStyle w:val="Nfaseforte"/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 xml:space="preserve">II - </w:t>
      </w:r>
      <w:bookmarkStart w:id="4" w:name="__DdeLink__15353_3081250592"/>
      <w:r>
        <w:rPr>
          <w:rStyle w:val="Nfaseforte"/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Desconcentração Territoral e Regionalização</w:t>
      </w:r>
      <w:bookmarkEnd w:id="4"/>
      <w:r>
        <w:rPr>
          <w:rStyle w:val="Nfaseforte"/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: </w:t>
      </w: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Visando à desconcentração territorial e à regionalização, 20% dos projetos deverão prever ações de incentivo direto a programas, a projetos e a ações de democratização do acesso à fruição e à produção artística e cultural em áreas periféricas, urbanas e rurais, e em territórios e regiões de maior vulnerabilidade econômica ou social, bem como em áreas de povos e comunidades tradicionais, conforme art. 6, II, da PNAB, quais sejam:</w:t>
      </w:r>
    </w:p>
    <w:p>
      <w:pPr>
        <w:pStyle w:val="Corpodotexto"/>
        <w:widowControl/>
        <w:numPr>
          <w:ilvl w:val="0"/>
          <w:numId w:val="1"/>
        </w:numPr>
        <w:tabs>
          <w:tab w:val="clear" w:pos="720"/>
          <w:tab w:val="left" w:pos="0" w:leader="none"/>
        </w:tabs>
        <w:spacing w:lineRule="atLeast" w:line="192" w:before="0" w:after="0"/>
        <w:ind w:left="707" w:hanging="0"/>
        <w:jc w:val="both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regiões periféricas;</w:t>
      </w:r>
    </w:p>
    <w:p>
      <w:pPr>
        <w:pStyle w:val="Corpodotexto"/>
        <w:widowControl/>
        <w:numPr>
          <w:ilvl w:val="0"/>
          <w:numId w:val="1"/>
        </w:numPr>
        <w:tabs>
          <w:tab w:val="clear" w:pos="720"/>
          <w:tab w:val="left" w:pos="0" w:leader="none"/>
        </w:tabs>
        <w:spacing w:lineRule="atLeast" w:line="192" w:before="0" w:after="0"/>
        <w:ind w:left="707" w:hanging="0"/>
        <w:jc w:val="both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regiões com menor Índice de Desenvolvimento Humano - IDH;</w:t>
      </w:r>
    </w:p>
    <w:p>
      <w:pPr>
        <w:pStyle w:val="Corpodotexto"/>
        <w:widowControl/>
        <w:numPr>
          <w:ilvl w:val="0"/>
          <w:numId w:val="1"/>
        </w:numPr>
        <w:tabs>
          <w:tab w:val="clear" w:pos="720"/>
          <w:tab w:val="left" w:pos="0" w:leader="none"/>
        </w:tabs>
        <w:spacing w:lineRule="atLeast" w:line="192" w:before="0" w:after="0"/>
        <w:ind w:left="707" w:hanging="0"/>
        <w:jc w:val="both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regiões onde são localizados conjuntos e empreendimentos habitacionais, e programas habitacionais de interesse social, promovidos por programas do governo federal ou local;</w:t>
      </w:r>
    </w:p>
    <w:p>
      <w:pPr>
        <w:pStyle w:val="Corpodotexto"/>
        <w:widowControl/>
        <w:numPr>
          <w:ilvl w:val="0"/>
          <w:numId w:val="1"/>
        </w:numPr>
        <w:tabs>
          <w:tab w:val="clear" w:pos="720"/>
          <w:tab w:val="left" w:pos="0" w:leader="none"/>
        </w:tabs>
        <w:spacing w:lineRule="atLeast" w:line="192" w:before="0" w:after="0"/>
        <w:ind w:left="707" w:hanging="0"/>
        <w:jc w:val="both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assentamentos e acampamentos;</w:t>
      </w:r>
    </w:p>
    <w:p>
      <w:pPr>
        <w:pStyle w:val="Corpodotexto"/>
        <w:widowControl/>
        <w:numPr>
          <w:ilvl w:val="0"/>
          <w:numId w:val="1"/>
        </w:numPr>
        <w:tabs>
          <w:tab w:val="clear" w:pos="720"/>
          <w:tab w:val="left" w:pos="0" w:leader="none"/>
        </w:tabs>
        <w:spacing w:lineRule="atLeast" w:line="192" w:before="0" w:after="0"/>
        <w:ind w:left="707" w:hanging="0"/>
        <w:jc w:val="both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regiões com menor presença de espaços e equipamentos culturais públicos;</w:t>
      </w:r>
    </w:p>
    <w:p>
      <w:pPr>
        <w:pStyle w:val="Corpodotexto"/>
        <w:widowControl/>
        <w:numPr>
          <w:ilvl w:val="0"/>
          <w:numId w:val="1"/>
        </w:numPr>
        <w:tabs>
          <w:tab w:val="clear" w:pos="720"/>
          <w:tab w:val="left" w:pos="0" w:leader="none"/>
        </w:tabs>
        <w:spacing w:lineRule="atLeast" w:line="192" w:before="0" w:after="0"/>
        <w:ind w:left="707" w:hanging="0"/>
        <w:jc w:val="both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regiões com menor histórico de acesso aos recursos da política pública de cultura;</w:t>
      </w:r>
    </w:p>
    <w:p>
      <w:pPr>
        <w:pStyle w:val="Corpodotexto"/>
        <w:widowControl/>
        <w:numPr>
          <w:ilvl w:val="0"/>
          <w:numId w:val="1"/>
        </w:numPr>
        <w:tabs>
          <w:tab w:val="clear" w:pos="720"/>
          <w:tab w:val="left" w:pos="0" w:leader="none"/>
        </w:tabs>
        <w:spacing w:lineRule="atLeast" w:line="192" w:before="0" w:after="0"/>
        <w:ind w:left="707" w:hanging="0"/>
        <w:jc w:val="both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zonas especiais de interesse social; VIII - áreas atingidas por desastres naturais;</w:t>
      </w:r>
    </w:p>
    <w:p>
      <w:pPr>
        <w:pStyle w:val="Corpodotexto"/>
        <w:widowControl/>
        <w:numPr>
          <w:ilvl w:val="0"/>
          <w:numId w:val="1"/>
        </w:numPr>
        <w:tabs>
          <w:tab w:val="clear" w:pos="720"/>
          <w:tab w:val="left" w:pos="0" w:leader="none"/>
        </w:tabs>
        <w:spacing w:lineRule="atLeast" w:line="192" w:before="0" w:after="0"/>
        <w:ind w:left="707" w:hanging="0"/>
        <w:jc w:val="both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territórios quilombolas;</w:t>
      </w:r>
    </w:p>
    <w:p>
      <w:pPr>
        <w:pStyle w:val="Corpodotexto"/>
        <w:widowControl/>
        <w:numPr>
          <w:ilvl w:val="0"/>
          <w:numId w:val="1"/>
        </w:numPr>
        <w:tabs>
          <w:tab w:val="clear" w:pos="720"/>
          <w:tab w:val="left" w:pos="0" w:leader="none"/>
        </w:tabs>
        <w:spacing w:lineRule="atLeast" w:line="192" w:before="0" w:after="0"/>
        <w:ind w:left="707" w:hanging="0"/>
        <w:jc w:val="both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territórios indígenas;</w:t>
      </w:r>
    </w:p>
    <w:p>
      <w:pPr>
        <w:pStyle w:val="Corpodotexto"/>
        <w:widowControl/>
        <w:numPr>
          <w:ilvl w:val="0"/>
          <w:numId w:val="1"/>
        </w:numPr>
        <w:tabs>
          <w:tab w:val="clear" w:pos="720"/>
          <w:tab w:val="left" w:pos="0" w:leader="none"/>
        </w:tabs>
        <w:spacing w:lineRule="atLeast" w:line="192" w:before="0" w:after="0"/>
        <w:ind w:left="707" w:hanging="0"/>
        <w:jc w:val="both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territórios rurais;</w:t>
      </w:r>
    </w:p>
    <w:p>
      <w:pPr>
        <w:pStyle w:val="Corpodotexto"/>
        <w:widowControl/>
        <w:numPr>
          <w:ilvl w:val="0"/>
          <w:numId w:val="1"/>
        </w:numPr>
        <w:tabs>
          <w:tab w:val="clear" w:pos="720"/>
          <w:tab w:val="left" w:pos="0" w:leader="none"/>
        </w:tabs>
        <w:spacing w:lineRule="atLeast" w:line="192" w:before="0" w:after="0"/>
        <w:ind w:left="707" w:hanging="0"/>
        <w:jc w:val="both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espaços comunitários de convivência, acolhimento e alimentação; e</w:t>
      </w:r>
    </w:p>
    <w:p>
      <w:pPr>
        <w:pStyle w:val="Corpodotexto"/>
        <w:widowControl/>
        <w:numPr>
          <w:ilvl w:val="0"/>
          <w:numId w:val="1"/>
        </w:numPr>
        <w:tabs>
          <w:tab w:val="clear" w:pos="720"/>
          <w:tab w:val="left" w:pos="0" w:leader="none"/>
        </w:tabs>
        <w:spacing w:lineRule="atLeast" w:line="192"/>
        <w:ind w:left="707" w:hanging="0"/>
        <w:jc w:val="both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demais regiões que sejam habitadas por pessoas em situação de vulnerabilidade econômica ou social.</w:t>
      </w:r>
    </w:p>
    <w:p>
      <w:pPr>
        <w:pStyle w:val="Corpodotexto"/>
        <w:widowControl/>
        <w:ind w:left="0" w:right="0" w:hanging="0"/>
        <w:jc w:val="both"/>
        <w:rPr>
          <w:caps w:val="false"/>
          <w:smallCaps w:val="false"/>
          <w:color w:val="000000"/>
          <w:spacing w:val="0"/>
        </w:rPr>
      </w:pPr>
      <w:r>
        <w:rPr>
          <w:caps w:val="false"/>
          <w:smallCaps w:val="false"/>
          <w:color w:val="000000"/>
          <w:spacing w:val="0"/>
        </w:rPr>
        <w:t> </w:t>
      </w:r>
    </w:p>
    <w:p>
      <w:pPr>
        <w:pStyle w:val="Corpodotexto"/>
        <w:widowControl/>
        <w:spacing w:lineRule="atLeast" w:line="192"/>
        <w:ind w:left="0" w:right="0" w:hanging="0"/>
        <w:jc w:val="both"/>
        <w:rPr/>
      </w:pPr>
      <w:r>
        <w:rPr>
          <w:rStyle w:val="Nfaseforte"/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III - Ampla concorrência:</w:t>
      </w: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 30% das vagas se destinam à ampla concorrência, sem incidência de categorias. </w:t>
      </w:r>
    </w:p>
    <w:p>
      <w:pPr>
        <w:pStyle w:val="Normal"/>
        <w:tabs>
          <w:tab w:val="clear" w:pos="720"/>
          <w:tab w:val="center" w:pos="0" w:leader="none"/>
        </w:tabs>
        <w:spacing w:lineRule="auto" w:line="240" w:before="0" w:after="120"/>
        <w:jc w:val="both"/>
        <w:rPr>
          <w:rFonts w:ascii="Calibri" w:hAnsi="Calibri" w:eastAsia="Calibri" w:cs="Calibri"/>
          <w:b/>
          <w:b/>
          <w:color w:val="FF0000"/>
          <w:sz w:val="24"/>
          <w:szCs w:val="24"/>
          <w:u w:val="single"/>
          <w:lang w:val="pt-BR"/>
        </w:rPr>
      </w:pPr>
      <w:r>
        <w:rPr>
          <w:rFonts w:eastAsia="Calibri" w:cs="Calibri" w:ascii="Calibri" w:hAnsi="Calibri"/>
          <w:b/>
          <w:color w:val="FF0000"/>
          <w:sz w:val="24"/>
          <w:szCs w:val="24"/>
          <w:u w:val="single"/>
          <w:lang w:val="pt-BR"/>
        </w:rPr>
      </w:r>
    </w:p>
    <w:tbl>
      <w:tblPr>
        <w:tblStyle w:val="Table1"/>
        <w:tblW w:w="13965" w:type="dxa"/>
        <w:jc w:val="left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600"/>
      </w:tblPr>
      <w:tblGrid>
        <w:gridCol w:w="554"/>
        <w:gridCol w:w="6079"/>
        <w:gridCol w:w="2264"/>
        <w:gridCol w:w="5067"/>
      </w:tblGrid>
      <w:tr>
        <w:trPr>
          <w:cantSplit w:val="true"/>
        </w:trPr>
        <w:tc>
          <w:tcPr>
            <w:tcW w:w="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>
                <w:rFonts w:ascii="Calibri" w:hAnsi="Calibri" w:eastAsia="Calibri" w:cs="Calibri"/>
                <w:b/>
                <w:b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</w:r>
          </w:p>
        </w:tc>
        <w:tc>
          <w:tcPr>
            <w:tcW w:w="60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/>
            </w:pPr>
            <w:r>
              <w:rPr>
                <w:rFonts w:eastAsia="Calibri" w:cs="Calibri" w:ascii="Calibri" w:hAnsi="Calibri"/>
                <w:b/>
                <w:color w:val="FF0000"/>
                <w:sz w:val="24"/>
                <w:szCs w:val="24"/>
              </w:rPr>
              <w:t>NOME  E DESCRIÇÃO DA CATEGORIA</w:t>
            </w:r>
          </w:p>
        </w:tc>
        <w:tc>
          <w:tcPr>
            <w:tcW w:w="2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/>
            </w:pPr>
            <w:r>
              <w:rPr>
                <w:rFonts w:eastAsia="Calibri" w:cs="Calibri" w:ascii="Calibri" w:hAnsi="Calibri"/>
                <w:b/>
                <w:color w:val="FF0000"/>
                <w:sz w:val="24"/>
                <w:szCs w:val="24"/>
              </w:rPr>
              <w:t>NÚMERO DE VAGAS PARA CATEGORIA</w:t>
            </w:r>
          </w:p>
        </w:tc>
        <w:tc>
          <w:tcPr>
            <w:tcW w:w="5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b/>
                <w:color w:val="FF0000"/>
                <w:sz w:val="24"/>
                <w:szCs w:val="24"/>
              </w:rPr>
              <w:t>VALOR TOTAL DISPONÍVEL POR PROJETO SELECIONADO (R$)</w:t>
            </w:r>
          </w:p>
        </w:tc>
      </w:tr>
      <w:tr>
        <w:trPr/>
        <w:tc>
          <w:tcPr>
            <w:tcW w:w="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center" w:pos="0" w:leader="none"/>
              </w:tabs>
              <w:spacing w:lineRule="auto" w:line="240" w:before="0" w:after="120"/>
              <w:jc w:val="both"/>
              <w:rPr/>
            </w:pPr>
            <w:r>
              <w:rPr>
                <w:rFonts w:eastAsia="Calibri" w:cs="Calibri" w:ascii="Calibri" w:hAnsi="Calibri"/>
                <w:color w:val="FF0000"/>
                <w:sz w:val="24"/>
                <w:szCs w:val="24"/>
              </w:rPr>
              <w:t>01</w:t>
            </w:r>
          </w:p>
        </w:tc>
        <w:tc>
          <w:tcPr>
            <w:tcW w:w="60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20"/>
                <w:tab w:val="center" w:pos="0" w:leader="none"/>
              </w:tabs>
              <w:spacing w:lineRule="auto" w:line="240" w:before="0" w:after="120"/>
              <w:jc w:val="both"/>
              <w:rPr/>
            </w:pPr>
            <w:r>
              <w:rPr>
                <w:rStyle w:val="Nfaseforte"/>
                <w:rFonts w:eastAsia="Calibri" w:cs="Calibri" w:ascii="Times New Roman" w:hAnsi="Times New Roman"/>
                <w:b w:val="false"/>
                <w:i w:val="false"/>
                <w:caps w:val="false"/>
                <w:smallCaps w:val="false"/>
                <w:color w:val="000000"/>
                <w:spacing w:val="0"/>
                <w:sz w:val="28"/>
                <w:szCs w:val="24"/>
                <w:highlight w:val="white"/>
              </w:rPr>
              <w:t>Culturas Populares e Tradicionais (30%)</w:t>
            </w:r>
          </w:p>
        </w:tc>
        <w:tc>
          <w:tcPr>
            <w:tcW w:w="2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/>
              <w:jc w:val="center"/>
              <w:rPr>
                <w:b w:val="false"/>
                <w:b w:val="false"/>
                <w:bCs w:val="false"/>
                <w:color w:val="auto"/>
              </w:rPr>
            </w:pPr>
            <w:r>
              <w:rPr>
                <w:rFonts w:eastAsia="Calibri" w:cs="Calibri" w:ascii="Calibri" w:hAnsi="Calibri"/>
                <w:b w:val="false"/>
                <w:bCs w:val="false"/>
                <w:color w:val="auto"/>
                <w:sz w:val="24"/>
                <w:szCs w:val="24"/>
                <w:shd w:fill="auto" w:val="clear"/>
              </w:rPr>
              <w:t>3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>
                <w:rFonts w:ascii="Calibri" w:hAnsi="Calibri" w:eastAsia="Calibri" w:cs="Calibri"/>
                <w:b w:val="false"/>
                <w:b w:val="false"/>
                <w:bCs w:val="false"/>
                <w:color w:val="auto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 w:val="false"/>
                <w:bCs w:val="false"/>
                <w:color w:val="auto"/>
                <w:sz w:val="24"/>
                <w:szCs w:val="24"/>
              </w:rPr>
            </w:r>
          </w:p>
        </w:tc>
        <w:tc>
          <w:tcPr>
            <w:tcW w:w="5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b w:val="false"/>
                <w:b w:val="false"/>
                <w:bCs w:val="false"/>
                <w:color w:val="auto"/>
              </w:rPr>
            </w:pPr>
            <w:r>
              <w:rPr>
                <w:rFonts w:eastAsia="Calibri" w:cs="Calibri" w:ascii="Calibri" w:hAnsi="Calibri"/>
                <w:b w:val="false"/>
                <w:bCs w:val="false"/>
                <w:color w:val="auto"/>
                <w:sz w:val="24"/>
                <w:szCs w:val="24"/>
              </w:rPr>
              <w:t>91.000,00</w:t>
            </w:r>
          </w:p>
        </w:tc>
      </w:tr>
      <w:tr>
        <w:trPr/>
        <w:tc>
          <w:tcPr>
            <w:tcW w:w="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/>
            </w:pPr>
            <w:r>
              <w:rPr>
                <w:rFonts w:eastAsia="Calibri" w:cs="Calibri" w:ascii="Calibri" w:hAnsi="Calibri"/>
                <w:color w:val="FF0000"/>
                <w:sz w:val="24"/>
                <w:szCs w:val="24"/>
              </w:rPr>
              <w:t>02</w:t>
            </w:r>
          </w:p>
        </w:tc>
        <w:tc>
          <w:tcPr>
            <w:tcW w:w="60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/>
            </w:pPr>
            <w:r>
              <w:rPr>
                <w:rStyle w:val="Nfaseforte"/>
                <w:rFonts w:eastAsia="Calibri" w:cs="Calibri" w:ascii="Times New Roman" w:hAnsi="Times New Roman"/>
                <w:b w:val="false"/>
                <w:i w:val="false"/>
                <w:caps w:val="false"/>
                <w:smallCaps w:val="false"/>
                <w:color w:val="000000"/>
                <w:spacing w:val="0"/>
                <w:sz w:val="28"/>
                <w:szCs w:val="24"/>
              </w:rPr>
              <w:t>Desconcentração Territoral e Regionalização (20%)</w:t>
            </w:r>
          </w:p>
        </w:tc>
        <w:tc>
          <w:tcPr>
            <w:tcW w:w="2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b w:val="false"/>
                <w:b w:val="false"/>
                <w:bCs w:val="false"/>
                <w:color w:val="auto"/>
              </w:rPr>
            </w:pPr>
            <w:r>
              <w:rPr>
                <w:rFonts w:eastAsia="Calibri" w:cs="Calibri" w:ascii="Calibri" w:hAnsi="Calibri"/>
                <w:b w:val="false"/>
                <w:bCs w:val="false"/>
                <w:color w:val="auto"/>
                <w:sz w:val="24"/>
                <w:szCs w:val="24"/>
                <w:shd w:fill="auto" w:val="clear"/>
              </w:rPr>
              <w:t>3</w:t>
            </w:r>
          </w:p>
        </w:tc>
        <w:tc>
          <w:tcPr>
            <w:tcW w:w="5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b w:val="false"/>
                <w:b w:val="false"/>
                <w:bCs w:val="false"/>
                <w:color w:val="auto"/>
                <w:sz w:val="24"/>
                <w:szCs w:val="24"/>
              </w:rPr>
            </w:pPr>
            <w:r>
              <w:rPr>
                <w:rFonts w:eastAsia="Calibri" w:cs="Calibri" w:ascii="Calibri" w:hAnsi="Calibri"/>
                <w:b w:val="false"/>
                <w:bCs w:val="false"/>
                <w:color w:val="auto"/>
                <w:sz w:val="24"/>
                <w:szCs w:val="24"/>
              </w:rPr>
              <w:t>91.000,00</w:t>
            </w:r>
          </w:p>
        </w:tc>
      </w:tr>
      <w:tr>
        <w:trPr/>
        <w:tc>
          <w:tcPr>
            <w:tcW w:w="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both"/>
              <w:rPr/>
            </w:pPr>
            <w:r>
              <w:rPr>
                <w:rFonts w:eastAsia="Calibri" w:cs="Calibri" w:ascii="Calibri" w:hAnsi="Calibri"/>
                <w:color w:val="FF0000"/>
                <w:sz w:val="24"/>
                <w:szCs w:val="24"/>
              </w:rPr>
              <w:t>03</w:t>
            </w:r>
          </w:p>
        </w:tc>
        <w:tc>
          <w:tcPr>
            <w:tcW w:w="60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center" w:pos="0" w:leader="none"/>
              </w:tabs>
              <w:spacing w:lineRule="auto" w:line="240" w:before="0" w:after="0"/>
              <w:ind w:left="0" w:right="0" w:hanging="0"/>
              <w:jc w:val="both"/>
              <w:rPr/>
            </w:pPr>
            <w:r>
              <w:rPr>
                <w:rStyle w:val="Nfaseforte"/>
                <w:rFonts w:eastAsia="Calibri" w:cs="Calibri" w:ascii="Times New Roman" w:hAnsi="Times New Roman"/>
                <w:b w:val="false"/>
                <w:i w:val="false"/>
                <w:caps w:val="false"/>
                <w:smallCaps w:val="false"/>
                <w:color w:val="000000"/>
                <w:spacing w:val="0"/>
                <w:sz w:val="28"/>
                <w:szCs w:val="24"/>
              </w:rPr>
              <w:t xml:space="preserve"> </w:t>
            </w:r>
            <w:bookmarkStart w:id="5" w:name="__DdeLink__4183_667061308"/>
            <w:r>
              <w:rPr>
                <w:rStyle w:val="Nfaseforte"/>
                <w:rFonts w:eastAsia="Calibri" w:cs="Calibri" w:ascii="Times New Roman" w:hAnsi="Times New Roman"/>
                <w:b w:val="false"/>
                <w:i w:val="false"/>
                <w:caps w:val="false"/>
                <w:smallCaps w:val="false"/>
                <w:color w:val="000000"/>
                <w:spacing w:val="0"/>
                <w:sz w:val="28"/>
                <w:szCs w:val="24"/>
              </w:rPr>
              <w:t>Ampla Concorrência</w:t>
            </w:r>
            <w:bookmarkEnd w:id="5"/>
            <w:r>
              <w:rPr>
                <w:rStyle w:val="Nfaseforte"/>
                <w:rFonts w:eastAsia="Calibri" w:cs="Calibri" w:ascii="Times New Roman" w:hAnsi="Times New Roman"/>
                <w:b w:val="false"/>
                <w:i w:val="false"/>
                <w:caps w:val="false"/>
                <w:smallCaps w:val="false"/>
                <w:color w:val="000000"/>
                <w:spacing w:val="0"/>
                <w:sz w:val="28"/>
                <w:szCs w:val="24"/>
              </w:rPr>
              <w:t xml:space="preserve"> (30%)</w:t>
            </w:r>
          </w:p>
        </w:tc>
        <w:tc>
          <w:tcPr>
            <w:tcW w:w="2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>
                <w:b w:val="false"/>
                <w:b w:val="false"/>
                <w:bCs w:val="false"/>
                <w:color w:val="auto"/>
              </w:rPr>
            </w:pPr>
            <w:r>
              <w:rPr>
                <w:rFonts w:eastAsia="Calibri" w:cs="Calibri" w:ascii="Calibri" w:hAnsi="Calibri"/>
                <w:b w:val="false"/>
                <w:bCs w:val="false"/>
                <w:color w:val="auto"/>
                <w:sz w:val="24"/>
                <w:szCs w:val="24"/>
                <w:shd w:fill="auto" w:val="clear"/>
              </w:rPr>
              <w:t>2</w:t>
            </w:r>
          </w:p>
        </w:tc>
        <w:tc>
          <w:tcPr>
            <w:tcW w:w="50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keepLines w:val="false"/>
              <w:widowControl w:val="false"/>
              <w:shd w:val="clear" w:fill="auto"/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 w:ascii="Calibri" w:hAnsi="Calibri"/>
                <w:b w:val="false"/>
                <w:bCs w:val="false"/>
                <w:color w:val="auto"/>
                <w:sz w:val="24"/>
                <w:szCs w:val="24"/>
              </w:rPr>
              <w:t>91.000,00</w:t>
            </w:r>
          </w:p>
        </w:tc>
      </w:tr>
    </w:tbl>
    <w:p>
      <w:pPr>
        <w:pStyle w:val="Normal"/>
        <w:tabs>
          <w:tab w:val="clear" w:pos="720"/>
          <w:tab w:val="center" w:pos="0" w:leader="none"/>
        </w:tabs>
        <w:spacing w:lineRule="auto" w:line="240" w:before="0" w:after="120"/>
        <w:jc w:val="both"/>
        <w:rPr>
          <w:rFonts w:ascii="Calibri" w:hAnsi="Calibri" w:eastAsia="Calibri" w:cs="Calibri"/>
          <w:b/>
          <w:b/>
          <w:color w:val="FF0000"/>
          <w:sz w:val="24"/>
          <w:szCs w:val="24"/>
          <w:u w:val="single"/>
          <w:lang w:val="pt-BR"/>
        </w:rPr>
      </w:pPr>
      <w:r>
        <w:rPr>
          <w:rFonts w:eastAsia="Calibri" w:cs="Calibri" w:ascii="Calibri" w:hAnsi="Calibri"/>
          <w:b/>
          <w:color w:val="FF0000"/>
          <w:sz w:val="24"/>
          <w:szCs w:val="24"/>
          <w:u w:val="single"/>
          <w:lang w:val="pt-BR"/>
        </w:rPr>
      </w:r>
    </w:p>
    <w:p>
      <w:pPr>
        <w:pStyle w:val="Corpodotexto"/>
        <w:widowControl/>
        <w:spacing w:lineRule="atLeast" w:line="192"/>
        <w:ind w:left="0" w:right="0" w:hanging="0"/>
        <w:jc w:val="both"/>
        <w:rPr/>
      </w:pPr>
      <w:bookmarkStart w:id="6" w:name="__DdeLink__14254_3081250592"/>
      <w:bookmarkEnd w:id="6"/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DAS POLÍTICAS DE COTAS OU RESERVA DE VAGAS</w:t>
      </w:r>
    </w:p>
    <w:tbl>
      <w:tblPr>
        <w:tblStyle w:val="TableNormal"/>
        <w:tblW w:w="13888" w:type="dxa"/>
        <w:jc w:val="left"/>
        <w:tblInd w:w="14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firstRow="0" w:noVBand="1" w:lastRow="0" w:firstColumn="0" w:lastColumn="0" w:noHBand="1" w:val="0600"/>
      </w:tblPr>
      <w:tblGrid>
        <w:gridCol w:w="6824"/>
        <w:gridCol w:w="7063"/>
      </w:tblGrid>
      <w:tr>
        <w:trPr/>
        <w:tc>
          <w:tcPr>
            <w:tcW w:w="6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b/>
                <w:b/>
                <w:sz w:val="24"/>
                <w:szCs w:val="24"/>
                <w:highlight w:val="yellow"/>
                <w:lang w:val="pt-BR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  <w:highlight w:val="yellow"/>
                <w:lang w:val="pt-BR"/>
              </w:rPr>
            </w:r>
          </w:p>
        </w:tc>
        <w:tc>
          <w:tcPr>
            <w:tcW w:w="7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>
                <w:rFonts w:ascii="Calibri" w:hAnsi="Calibri" w:eastAsia="Calibri" w:cs="Calibri"/>
                <w:b/>
                <w:b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NÚMERO DE VAGAS MÍNIMAS</w:t>
            </w:r>
          </w:p>
        </w:tc>
      </w:tr>
      <w:tr>
        <w:trPr/>
        <w:tc>
          <w:tcPr>
            <w:tcW w:w="6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b/>
                <w:b/>
                <w:sz w:val="24"/>
                <w:szCs w:val="24"/>
                <w:lang w:val="pt-BR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  <w:lang w:val="pt-BR"/>
              </w:rPr>
              <w:t>pessoas negras (pretas ou pardas)</w:t>
            </w:r>
          </w:p>
        </w:tc>
        <w:tc>
          <w:tcPr>
            <w:tcW w:w="7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>
                <w:color w:val="000000"/>
              </w:rPr>
            </w:pPr>
            <w:r>
              <w:rPr>
                <w:rFonts w:eastAsia="Calibri" w:cs="Calibri" w:ascii="Calibri" w:hAnsi="Calibri"/>
                <w:color w:val="000000"/>
                <w:sz w:val="24"/>
                <w:szCs w:val="24"/>
                <w:lang w:val="pt-BR"/>
              </w:rPr>
              <w:t>2</w:t>
            </w:r>
          </w:p>
        </w:tc>
      </w:tr>
      <w:tr>
        <w:trPr/>
        <w:tc>
          <w:tcPr>
            <w:tcW w:w="6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b/>
                <w:b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pessoas indígenas</w:t>
            </w:r>
          </w:p>
        </w:tc>
        <w:tc>
          <w:tcPr>
            <w:tcW w:w="7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>
                <w:lang w:val="pt-BR"/>
              </w:rPr>
            </w:pPr>
            <w:r>
              <w:rPr>
                <w:rFonts w:eastAsia="Calibri" w:cs="Calibri" w:ascii="Calibri" w:hAnsi="Calibri"/>
                <w:color w:val="000000"/>
                <w:sz w:val="24"/>
                <w:szCs w:val="24"/>
                <w:lang w:val="pt-BR"/>
              </w:rPr>
              <w:t>1</w:t>
            </w:r>
          </w:p>
        </w:tc>
      </w:tr>
      <w:tr>
        <w:trPr/>
        <w:tc>
          <w:tcPr>
            <w:tcW w:w="68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b/>
                <w:b/>
                <w:sz w:val="24"/>
                <w:szCs w:val="24"/>
              </w:rPr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pessoas com deficiência</w:t>
            </w:r>
          </w:p>
        </w:tc>
        <w:tc>
          <w:tcPr>
            <w:tcW w:w="7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/>
              <w:jc w:val="center"/>
              <w:rPr>
                <w:lang w:val="pt-BR"/>
              </w:rPr>
            </w:pPr>
            <w:r>
              <w:rPr>
                <w:rFonts w:eastAsia="Calibri" w:cs="Calibri" w:ascii="Calibri" w:hAnsi="Calibri"/>
                <w:color w:val="000000"/>
                <w:sz w:val="24"/>
                <w:szCs w:val="24"/>
                <w:lang w:val="pt-BR"/>
              </w:rPr>
              <w:t>1</w:t>
            </w:r>
          </w:p>
        </w:tc>
      </w:tr>
    </w:tbl>
    <w:p>
      <w:pPr>
        <w:pStyle w:val="Normal"/>
        <w:tabs>
          <w:tab w:val="clear" w:pos="720"/>
          <w:tab w:val="center" w:pos="0" w:leader="none"/>
        </w:tabs>
        <w:spacing w:lineRule="auto" w:line="240" w:before="0" w:after="120"/>
        <w:jc w:val="both"/>
        <w:rPr/>
      </w:pPr>
      <w:r>
        <w:rPr/>
      </w:r>
    </w:p>
    <w:sectPr>
      <w:headerReference w:type="default" r:id="rId2"/>
      <w:type w:val="nextPage"/>
      <w:pgSz w:orient="landscape" w:w="16838" w:h="11906"/>
      <w:pgMar w:left="1440" w:right="1054" w:header="720" w:top="1440" w:footer="0" w:bottom="1440" w:gutter="0"/>
      <w:pgNumType w:start="1"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Tahoma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20"/>
        <w:tab w:val="center" w:pos="4252" w:leader="none"/>
        <w:tab w:val="right" w:pos="8504" w:leader="none"/>
      </w:tabs>
      <w:spacing w:lineRule="auto" w:line="240"/>
      <w:jc w:val="center"/>
      <w:rPr/>
    </w:pPr>
    <w:r>
      <w:rPr/>
      <mc:AlternateContent>
        <mc:Choice Requires="wps">
          <w:drawing>
            <wp:anchor behindDoc="1" distT="0" distB="0" distL="114300" distR="114300" simplePos="0" locked="0" layoutInCell="1" allowOverlap="1" relativeHeight="7">
              <wp:simplePos x="0" y="0"/>
              <wp:positionH relativeFrom="column">
                <wp:posOffset>-63500</wp:posOffset>
              </wp:positionH>
              <wp:positionV relativeFrom="paragraph">
                <wp:posOffset>393700</wp:posOffset>
              </wp:positionV>
              <wp:extent cx="5813425" cy="17780"/>
              <wp:effectExtent l="0" t="0" r="0" b="0"/>
              <wp:wrapNone/>
              <wp:docPr id="1" name="Figura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812920" cy="1728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9360">
                        <a:solidFill>
                          <a:srgbClr val="00206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w:drawing>
        <wp:anchor behindDoc="1" distT="0" distB="0" distL="114300" distR="114300" simplePos="0" locked="0" layoutInCell="1" allowOverlap="1" relativeHeight="4">
          <wp:simplePos x="0" y="0"/>
          <wp:positionH relativeFrom="column">
            <wp:posOffset>1516380</wp:posOffset>
          </wp:positionH>
          <wp:positionV relativeFrom="paragraph">
            <wp:posOffset>-186055</wp:posOffset>
          </wp:positionV>
          <wp:extent cx="4154170" cy="519430"/>
          <wp:effectExtent l="0" t="0" r="0" b="0"/>
          <wp:wrapNone/>
          <wp:docPr id="2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0" t="8710" r="0" b="69105"/>
                  <a:stretch>
                    <a:fillRect/>
                  </a:stretch>
                </pic:blipFill>
                <pic:spPr bwMode="auto">
                  <a:xfrm>
                    <a:off x="0" y="0"/>
                    <a:ext cx="4154170" cy="519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0" distT="0" distB="9525" distL="114300" distR="122555" simplePos="0" locked="0" layoutInCell="1" allowOverlap="1" relativeHeight="10">
          <wp:simplePos x="0" y="0"/>
          <wp:positionH relativeFrom="column">
            <wp:posOffset>294005</wp:posOffset>
          </wp:positionH>
          <wp:positionV relativeFrom="paragraph">
            <wp:posOffset>-250190</wp:posOffset>
          </wp:positionV>
          <wp:extent cx="1229995" cy="581025"/>
          <wp:effectExtent l="0" t="0" r="0" b="0"/>
          <wp:wrapTight wrapText="bothSides">
            <wp:wrapPolygon edited="0">
              <wp:start x="-504" y="0"/>
              <wp:lineTo x="-504" y="20689"/>
              <wp:lineTo x="21364" y="20689"/>
              <wp:lineTo x="21364" y="0"/>
              <wp:lineTo x="-504" y="0"/>
            </wp:wrapPolygon>
          </wp:wrapTight>
          <wp:docPr id="3" name="Figura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Figura1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22999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jc w:val="cent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suff w:val="nothing"/>
      <w:lvlText w:val=""/>
      <w:lvlJc w:val="left"/>
      <w:pPr>
        <w:ind w:left="707" w:hanging="0"/>
      </w:pPr>
      <w:rPr>
        <w:rFonts w:ascii="Symbol" w:hAnsi="Symbol" w:cs="Symbol" w:hint="default"/>
        <w:sz w:val="28"/>
        <w:b w:val="false"/>
        <w:rFonts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ymbol" w:hint="default"/>
        <w:rFonts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ymbol" w:hint="default"/>
        <w:rFonts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ymbol" w:hint="default"/>
        <w:rFonts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ymbol" w:hint="default"/>
        <w:rFonts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ymbol" w:hint="default"/>
        <w:rFonts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ymbol" w:hint="default"/>
        <w:rFonts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ymbol" w:hint="default"/>
        <w:rFonts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ymbol" w:hint="default"/>
        <w:rFonts w:cs="OpenSymbol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Cs w:val="22"/>
        <w:lang w:val="en-US" w:eastAsia="zh-CN" w:bidi="hi-IN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 w:val="false"/>
      <w:bidi w:val="0"/>
      <w:spacing w:lineRule="auto" w:line="276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paragraph" w:styleId="Ttulo1">
    <w:name w:val="Heading 1"/>
    <w:basedOn w:val="Normal"/>
    <w:next w:val="LOnormal"/>
    <w:qFormat/>
    <w:pPr>
      <w:keepNext w:val="true"/>
      <w:keepLines/>
      <w:widowControl w:val="false"/>
      <w:bidi w:val="0"/>
      <w:spacing w:before="400" w:after="120"/>
      <w:jc w:val="left"/>
      <w:outlineLvl w:val="0"/>
    </w:pPr>
    <w:rPr>
      <w:rFonts w:ascii="Arial" w:hAnsi="Arial" w:eastAsia="Arial" w:cs="Arial"/>
      <w:color w:val="auto"/>
      <w:kern w:val="0"/>
      <w:sz w:val="40"/>
      <w:szCs w:val="40"/>
      <w:lang w:val="en-US" w:eastAsia="zh-CN" w:bidi="hi-IN"/>
    </w:rPr>
  </w:style>
  <w:style w:type="paragraph" w:styleId="Ttulo2">
    <w:name w:val="Heading 2"/>
    <w:basedOn w:val="Normal"/>
    <w:next w:val="LOnormal"/>
    <w:qFormat/>
    <w:pPr>
      <w:keepNext w:val="true"/>
      <w:keepLines/>
      <w:widowControl w:val="false"/>
      <w:bidi w:val="0"/>
      <w:spacing w:before="360" w:after="120"/>
      <w:jc w:val="left"/>
      <w:outlineLvl w:val="1"/>
    </w:pPr>
    <w:rPr>
      <w:rFonts w:ascii="Arial" w:hAnsi="Arial" w:eastAsia="Arial" w:cs="Arial"/>
      <w:color w:val="auto"/>
      <w:kern w:val="0"/>
      <w:sz w:val="32"/>
      <w:szCs w:val="32"/>
      <w:lang w:val="en-US" w:eastAsia="zh-CN" w:bidi="hi-IN"/>
    </w:rPr>
  </w:style>
  <w:style w:type="paragraph" w:styleId="Ttulo3">
    <w:name w:val="Heading 3"/>
    <w:basedOn w:val="Normal"/>
    <w:next w:val="LOnormal"/>
    <w:qFormat/>
    <w:pPr>
      <w:keepNext w:val="true"/>
      <w:keepLines/>
      <w:widowControl w:val="false"/>
      <w:bidi w:val="0"/>
      <w:spacing w:before="320" w:after="80"/>
      <w:jc w:val="left"/>
      <w:outlineLvl w:val="2"/>
    </w:pPr>
    <w:rPr>
      <w:rFonts w:ascii="Arial" w:hAnsi="Arial" w:eastAsia="Arial" w:cs="Arial"/>
      <w:color w:val="434343"/>
      <w:kern w:val="0"/>
      <w:sz w:val="28"/>
      <w:szCs w:val="28"/>
      <w:lang w:val="en-US" w:eastAsia="zh-CN" w:bidi="hi-IN"/>
    </w:rPr>
  </w:style>
  <w:style w:type="paragraph" w:styleId="Ttulo4">
    <w:name w:val="Heading 4"/>
    <w:basedOn w:val="Normal"/>
    <w:next w:val="LOnormal"/>
    <w:qFormat/>
    <w:pPr>
      <w:keepNext w:val="true"/>
      <w:keepLines/>
      <w:widowControl w:val="false"/>
      <w:bidi w:val="0"/>
      <w:spacing w:before="280" w:after="80"/>
      <w:jc w:val="left"/>
      <w:outlineLvl w:val="3"/>
    </w:pPr>
    <w:rPr>
      <w:rFonts w:ascii="Arial" w:hAnsi="Arial" w:eastAsia="Arial" w:cs="Arial"/>
      <w:color w:val="666666"/>
      <w:kern w:val="0"/>
      <w:sz w:val="24"/>
      <w:szCs w:val="24"/>
      <w:lang w:val="en-US" w:eastAsia="zh-CN" w:bidi="hi-IN"/>
    </w:rPr>
  </w:style>
  <w:style w:type="paragraph" w:styleId="Ttulo5">
    <w:name w:val="Heading 5"/>
    <w:basedOn w:val="Normal"/>
    <w:next w:val="LOnormal"/>
    <w:qFormat/>
    <w:pPr>
      <w:keepNext w:val="true"/>
      <w:keepLines/>
      <w:widowControl w:val="false"/>
      <w:bidi w:val="0"/>
      <w:spacing w:before="240" w:after="80"/>
      <w:jc w:val="left"/>
      <w:outlineLvl w:val="4"/>
    </w:pPr>
    <w:rPr>
      <w:rFonts w:ascii="Arial" w:hAnsi="Arial" w:eastAsia="Arial" w:cs="Arial"/>
      <w:color w:val="666666"/>
      <w:kern w:val="0"/>
      <w:sz w:val="22"/>
      <w:szCs w:val="22"/>
      <w:lang w:val="en-US" w:eastAsia="zh-CN" w:bidi="hi-IN"/>
    </w:rPr>
  </w:style>
  <w:style w:type="paragraph" w:styleId="Ttulo6">
    <w:name w:val="Heading 6"/>
    <w:basedOn w:val="Normal"/>
    <w:next w:val="LOnormal"/>
    <w:qFormat/>
    <w:pPr>
      <w:keepNext w:val="true"/>
      <w:keepLines/>
      <w:widowControl w:val="false"/>
      <w:bidi w:val="0"/>
      <w:spacing w:before="240" w:after="80"/>
      <w:jc w:val="left"/>
      <w:outlineLvl w:val="5"/>
    </w:pPr>
    <w:rPr>
      <w:rFonts w:ascii="Arial" w:hAnsi="Arial" w:eastAsia="Arial" w:cs="Arial"/>
      <w:i/>
      <w:color w:val="666666"/>
      <w:kern w:val="0"/>
      <w:sz w:val="22"/>
      <w:szCs w:val="22"/>
      <w:lang w:val="en-US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2c3636"/>
    <w:rPr>
      <w:rFonts w:ascii="Tahoma" w:hAnsi="Tahoma" w:cs="Mangal"/>
      <w:sz w:val="16"/>
      <w:szCs w:val="14"/>
    </w:rPr>
  </w:style>
  <w:style w:type="character" w:styleId="RodapChar" w:customStyle="1">
    <w:name w:val="Rodapé Char"/>
    <w:basedOn w:val="DefaultParagraphFont"/>
    <w:link w:val="Rodap"/>
    <w:uiPriority w:val="99"/>
    <w:qFormat/>
    <w:rsid w:val="002c3636"/>
    <w:rPr>
      <w:rFonts w:cs="Mangal"/>
      <w:szCs w:val="20"/>
    </w:rPr>
  </w:style>
  <w:style w:type="character" w:styleId="Nfaseforte">
    <w:name w:val="Ênfase forte"/>
    <w:qFormat/>
    <w:rPr>
      <w:b/>
      <w:bCs/>
    </w:rPr>
  </w:style>
  <w:style w:type="character" w:styleId="Marcas">
    <w:name w:val="Marcas"/>
    <w:qFormat/>
    <w:rPr>
      <w:rFonts w:ascii="OpenSymbol" w:hAnsi="OpenSymbol" w:eastAsia="OpenSymbol" w:cs="OpenSymbol"/>
    </w:rPr>
  </w:style>
  <w:style w:type="character" w:styleId="ListLabel1">
    <w:name w:val="ListLabel 1"/>
    <w:qFormat/>
    <w:rPr>
      <w:rFonts w:ascii="Times New Roman" w:hAnsi="Times New Roman" w:cs="OpenSymbol"/>
      <w:b w:val="false"/>
      <w:sz w:val="28"/>
    </w:rPr>
  </w:style>
  <w:style w:type="character" w:styleId="ListLabel2">
    <w:name w:val="ListLabel 2"/>
    <w:qFormat/>
    <w:rPr>
      <w:rFonts w:cs="OpenSymbol"/>
    </w:rPr>
  </w:style>
  <w:style w:type="character" w:styleId="ListLabel3">
    <w:name w:val="ListLabel 3"/>
    <w:qFormat/>
    <w:rPr>
      <w:rFonts w:cs="OpenSymbol"/>
    </w:rPr>
  </w:style>
  <w:style w:type="character" w:styleId="ListLabel4">
    <w:name w:val="ListLabel 4"/>
    <w:qFormat/>
    <w:rPr>
      <w:rFonts w:cs="OpenSymbol"/>
    </w:rPr>
  </w:style>
  <w:style w:type="character" w:styleId="ListLabel5">
    <w:name w:val="ListLabel 5"/>
    <w:qFormat/>
    <w:rPr>
      <w:rFonts w:cs="OpenSymbol"/>
    </w:rPr>
  </w:style>
  <w:style w:type="character" w:styleId="ListLabel6">
    <w:name w:val="ListLabel 6"/>
    <w:qFormat/>
    <w:rPr>
      <w:rFonts w:cs="OpenSymbol"/>
    </w:rPr>
  </w:style>
  <w:style w:type="character" w:styleId="ListLabel7">
    <w:name w:val="ListLabel 7"/>
    <w:qFormat/>
    <w:rPr>
      <w:rFonts w:cs="OpenSymbol"/>
    </w:rPr>
  </w:style>
  <w:style w:type="character" w:styleId="ListLabel8">
    <w:name w:val="ListLabel 8"/>
    <w:qFormat/>
    <w:rPr>
      <w:rFonts w:cs="OpenSymbol"/>
    </w:rPr>
  </w:style>
  <w:style w:type="character" w:styleId="ListLabel9">
    <w:name w:val="ListLabel 9"/>
    <w:qFormat/>
    <w:rPr>
      <w:rFonts w:cs="OpenSymbol"/>
    </w:rPr>
  </w:style>
  <w:style w:type="character" w:styleId="ListLabel10">
    <w:name w:val="ListLabel 10"/>
    <w:qFormat/>
    <w:rPr>
      <w:rFonts w:ascii="Times New Roman" w:hAnsi="Times New Roman" w:cs="OpenSymbol"/>
      <w:b w:val="false"/>
      <w:sz w:val="28"/>
    </w:rPr>
  </w:style>
  <w:style w:type="character" w:styleId="ListLabel11">
    <w:name w:val="ListLabel 11"/>
    <w:qFormat/>
    <w:rPr>
      <w:rFonts w:cs="OpenSymbol"/>
    </w:rPr>
  </w:style>
  <w:style w:type="character" w:styleId="ListLabel12">
    <w:name w:val="ListLabel 12"/>
    <w:qFormat/>
    <w:rPr>
      <w:rFonts w:cs="OpenSymbol"/>
    </w:rPr>
  </w:style>
  <w:style w:type="character" w:styleId="ListLabel13">
    <w:name w:val="ListLabel 13"/>
    <w:qFormat/>
    <w:rPr>
      <w:rFonts w:cs="OpenSymbol"/>
    </w:rPr>
  </w:style>
  <w:style w:type="character" w:styleId="ListLabel14">
    <w:name w:val="ListLabel 14"/>
    <w:qFormat/>
    <w:rPr>
      <w:rFonts w:cs="OpenSymbol"/>
    </w:rPr>
  </w:style>
  <w:style w:type="character" w:styleId="ListLabel15">
    <w:name w:val="ListLabel 15"/>
    <w:qFormat/>
    <w:rPr>
      <w:rFonts w:cs="OpenSymbol"/>
    </w:rPr>
  </w:style>
  <w:style w:type="character" w:styleId="ListLabel16">
    <w:name w:val="ListLabel 16"/>
    <w:qFormat/>
    <w:rPr>
      <w:rFonts w:cs="OpenSymbol"/>
    </w:rPr>
  </w:style>
  <w:style w:type="character" w:styleId="ListLabel17">
    <w:name w:val="ListLabel 17"/>
    <w:qFormat/>
    <w:rPr>
      <w:rFonts w:cs="OpenSymbol"/>
    </w:rPr>
  </w:style>
  <w:style w:type="character" w:styleId="ListLabel18">
    <w:name w:val="ListLabel 18"/>
    <w:qFormat/>
    <w:rPr>
      <w:rFonts w:cs="OpenSymbol"/>
    </w:rPr>
  </w:style>
  <w:style w:type="character" w:styleId="ListLabel19">
    <w:name w:val="ListLabel 19"/>
    <w:qFormat/>
    <w:rPr>
      <w:rFonts w:ascii="Times New Roman" w:hAnsi="Times New Roman" w:cs="OpenSymbol"/>
      <w:b w:val="false"/>
      <w:sz w:val="28"/>
    </w:rPr>
  </w:style>
  <w:style w:type="character" w:styleId="ListLabel20">
    <w:name w:val="ListLabel 20"/>
    <w:qFormat/>
    <w:rPr>
      <w:rFonts w:cs="OpenSymbol"/>
    </w:rPr>
  </w:style>
  <w:style w:type="character" w:styleId="ListLabel21">
    <w:name w:val="ListLabel 21"/>
    <w:qFormat/>
    <w:rPr>
      <w:rFonts w:cs="OpenSymbol"/>
    </w:rPr>
  </w:style>
  <w:style w:type="character" w:styleId="ListLabel22">
    <w:name w:val="ListLabel 22"/>
    <w:qFormat/>
    <w:rPr>
      <w:rFonts w:cs="OpenSymbol"/>
    </w:rPr>
  </w:style>
  <w:style w:type="character" w:styleId="ListLabel23">
    <w:name w:val="ListLabel 23"/>
    <w:qFormat/>
    <w:rPr>
      <w:rFonts w:cs="OpenSymbol"/>
    </w:rPr>
  </w:style>
  <w:style w:type="character" w:styleId="ListLabel24">
    <w:name w:val="ListLabel 24"/>
    <w:qFormat/>
    <w:rPr>
      <w:rFonts w:cs="OpenSymbol"/>
    </w:rPr>
  </w:style>
  <w:style w:type="character" w:styleId="ListLabel25">
    <w:name w:val="ListLabel 25"/>
    <w:qFormat/>
    <w:rPr>
      <w:rFonts w:cs="OpenSymbol"/>
    </w:rPr>
  </w:style>
  <w:style w:type="character" w:styleId="ListLabel26">
    <w:name w:val="ListLabel 26"/>
    <w:qFormat/>
    <w:rPr>
      <w:rFonts w:cs="OpenSymbol"/>
    </w:rPr>
  </w:style>
  <w:style w:type="character" w:styleId="ListLabel27">
    <w:name w:val="ListLabel 27"/>
    <w:qFormat/>
    <w:rPr>
      <w:rFonts w:cs="OpenSymbol"/>
    </w:rPr>
  </w:style>
  <w:style w:type="character" w:styleId="ListLabel28">
    <w:name w:val="ListLabel 28"/>
    <w:qFormat/>
    <w:rPr>
      <w:rFonts w:ascii="Times New Roman" w:hAnsi="Times New Roman" w:cs="OpenSymbol"/>
      <w:b w:val="false"/>
      <w:sz w:val="28"/>
    </w:rPr>
  </w:style>
  <w:style w:type="character" w:styleId="ListLabel29">
    <w:name w:val="ListLabel 29"/>
    <w:qFormat/>
    <w:rPr>
      <w:rFonts w:cs="OpenSymbol"/>
    </w:rPr>
  </w:style>
  <w:style w:type="character" w:styleId="ListLabel30">
    <w:name w:val="ListLabel 30"/>
    <w:qFormat/>
    <w:rPr>
      <w:rFonts w:cs="OpenSymbol"/>
    </w:rPr>
  </w:style>
  <w:style w:type="character" w:styleId="ListLabel31">
    <w:name w:val="ListLabel 31"/>
    <w:qFormat/>
    <w:rPr>
      <w:rFonts w:cs="OpenSymbol"/>
    </w:rPr>
  </w:style>
  <w:style w:type="character" w:styleId="ListLabel32">
    <w:name w:val="ListLabel 32"/>
    <w:qFormat/>
    <w:rPr>
      <w:rFonts w:cs="OpenSymbol"/>
    </w:rPr>
  </w:style>
  <w:style w:type="character" w:styleId="ListLabel33">
    <w:name w:val="ListLabel 33"/>
    <w:qFormat/>
    <w:rPr>
      <w:rFonts w:cs="OpenSymbol"/>
    </w:rPr>
  </w:style>
  <w:style w:type="character" w:styleId="ListLabel34">
    <w:name w:val="ListLabel 34"/>
    <w:qFormat/>
    <w:rPr>
      <w:rFonts w:cs="OpenSymbol"/>
    </w:rPr>
  </w:style>
  <w:style w:type="character" w:styleId="ListLabel35">
    <w:name w:val="ListLabel 35"/>
    <w:qFormat/>
    <w:rPr>
      <w:rFonts w:cs="OpenSymbol"/>
    </w:rPr>
  </w:style>
  <w:style w:type="character" w:styleId="ListLabel36">
    <w:name w:val="ListLabel 36"/>
    <w:qFormat/>
    <w:rPr>
      <w:rFonts w:cs="OpenSymbol"/>
    </w:rPr>
  </w:style>
  <w:style w:type="character" w:styleId="ListLabel37">
    <w:name w:val="ListLabel 37"/>
    <w:qFormat/>
    <w:rPr>
      <w:rFonts w:ascii="Times New Roman" w:hAnsi="Times New Roman" w:cs="OpenSymbol"/>
      <w:b w:val="false"/>
      <w:sz w:val="28"/>
    </w:rPr>
  </w:style>
  <w:style w:type="character" w:styleId="ListLabel38">
    <w:name w:val="ListLabel 38"/>
    <w:qFormat/>
    <w:rPr>
      <w:rFonts w:cs="OpenSymbol"/>
    </w:rPr>
  </w:style>
  <w:style w:type="character" w:styleId="ListLabel39">
    <w:name w:val="ListLabel 39"/>
    <w:qFormat/>
    <w:rPr>
      <w:rFonts w:cs="OpenSymbol"/>
    </w:rPr>
  </w:style>
  <w:style w:type="character" w:styleId="ListLabel40">
    <w:name w:val="ListLabel 40"/>
    <w:qFormat/>
    <w:rPr>
      <w:rFonts w:cs="OpenSymbol"/>
    </w:rPr>
  </w:style>
  <w:style w:type="character" w:styleId="ListLabel41">
    <w:name w:val="ListLabel 41"/>
    <w:qFormat/>
    <w:rPr>
      <w:rFonts w:cs="OpenSymbol"/>
    </w:rPr>
  </w:style>
  <w:style w:type="character" w:styleId="ListLabel42">
    <w:name w:val="ListLabel 42"/>
    <w:qFormat/>
    <w:rPr>
      <w:rFonts w:cs="OpenSymbol"/>
    </w:rPr>
  </w:style>
  <w:style w:type="character" w:styleId="ListLabel43">
    <w:name w:val="ListLabel 43"/>
    <w:qFormat/>
    <w:rPr>
      <w:rFonts w:cs="OpenSymbol"/>
    </w:rPr>
  </w:style>
  <w:style w:type="character" w:styleId="ListLabel44">
    <w:name w:val="ListLabel 44"/>
    <w:qFormat/>
    <w:rPr>
      <w:rFonts w:cs="OpenSymbol"/>
    </w:rPr>
  </w:style>
  <w:style w:type="character" w:styleId="ListLabel45">
    <w:name w:val="ListLabel 45"/>
    <w:qFormat/>
    <w:rPr>
      <w:rFonts w:cs="OpenSymbol"/>
    </w:rPr>
  </w:style>
  <w:style w:type="character" w:styleId="ListLabel46">
    <w:name w:val="ListLabel 46"/>
    <w:qFormat/>
    <w:rPr>
      <w:rFonts w:ascii="Times New Roman" w:hAnsi="Times New Roman" w:cs="OpenSymbol"/>
      <w:b w:val="false"/>
      <w:sz w:val="28"/>
    </w:rPr>
  </w:style>
  <w:style w:type="character" w:styleId="ListLabel47">
    <w:name w:val="ListLabel 47"/>
    <w:qFormat/>
    <w:rPr>
      <w:rFonts w:cs="OpenSymbol"/>
    </w:rPr>
  </w:style>
  <w:style w:type="character" w:styleId="ListLabel48">
    <w:name w:val="ListLabel 48"/>
    <w:qFormat/>
    <w:rPr>
      <w:rFonts w:cs="OpenSymbol"/>
    </w:rPr>
  </w:style>
  <w:style w:type="character" w:styleId="ListLabel49">
    <w:name w:val="ListLabel 49"/>
    <w:qFormat/>
    <w:rPr>
      <w:rFonts w:cs="OpenSymbol"/>
    </w:rPr>
  </w:style>
  <w:style w:type="character" w:styleId="ListLabel50">
    <w:name w:val="ListLabel 50"/>
    <w:qFormat/>
    <w:rPr>
      <w:rFonts w:cs="OpenSymbol"/>
    </w:rPr>
  </w:style>
  <w:style w:type="character" w:styleId="ListLabel51">
    <w:name w:val="ListLabel 51"/>
    <w:qFormat/>
    <w:rPr>
      <w:rFonts w:cs="OpenSymbol"/>
    </w:rPr>
  </w:style>
  <w:style w:type="character" w:styleId="ListLabel52">
    <w:name w:val="ListLabel 52"/>
    <w:qFormat/>
    <w:rPr>
      <w:rFonts w:cs="OpenSymbol"/>
    </w:rPr>
  </w:style>
  <w:style w:type="character" w:styleId="ListLabel53">
    <w:name w:val="ListLabel 53"/>
    <w:qFormat/>
    <w:rPr>
      <w:rFonts w:cs="OpenSymbol"/>
    </w:rPr>
  </w:style>
  <w:style w:type="character" w:styleId="ListLabel54">
    <w:name w:val="ListLabel 54"/>
    <w:qFormat/>
    <w:rPr>
      <w:rFonts w:cs="OpenSymbol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>
      <w:rFonts w:cs="Mangal"/>
    </w:rPr>
  </w:style>
  <w:style w:type="paragraph" w:styleId="Ttulododocumento">
    <w:name w:val="Title"/>
    <w:basedOn w:val="Normal"/>
    <w:next w:val="Corpodotexto"/>
    <w:qFormat/>
    <w:pPr>
      <w:keepNext w:val="true"/>
      <w:keepLines/>
      <w:widowControl w:val="false"/>
      <w:bidi w:val="0"/>
      <w:spacing w:before="0" w:after="60"/>
      <w:jc w:val="left"/>
    </w:pPr>
    <w:rPr>
      <w:rFonts w:ascii="Arial" w:hAnsi="Arial" w:eastAsia="Arial" w:cs="Arial"/>
      <w:color w:val="auto"/>
      <w:kern w:val="0"/>
      <w:sz w:val="52"/>
      <w:szCs w:val="52"/>
      <w:lang w:val="en-US" w:eastAsia="zh-CN" w:bidi="hi-IN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Onormal" w:customStyle="1">
    <w:name w:val="LO-normal"/>
    <w:qFormat/>
    <w:pPr>
      <w:widowControl/>
      <w:bidi w:val="0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paragraph" w:styleId="Subttulo">
    <w:name w:val="Subtitle"/>
    <w:basedOn w:val="LOnormal"/>
    <w:next w:val="LOnormal"/>
    <w:qFormat/>
    <w:pPr>
      <w:keepNext w:val="true"/>
      <w:keepLines/>
      <w:spacing w:before="0" w:after="320"/>
    </w:pPr>
    <w:rPr>
      <w:color w:val="666666"/>
      <w:sz w:val="30"/>
      <w:szCs w:val="30"/>
    </w:rPr>
  </w:style>
  <w:style w:type="paragraph" w:styleId="Cabealho">
    <w:name w:val="Header"/>
    <w:basedOn w:val="Normal"/>
    <w:pPr/>
    <w:rPr/>
  </w:style>
  <w:style w:type="paragraph" w:styleId="Contedodoquadro" w:customStyle="1">
    <w:name w:val="Conteúdo do quadro"/>
    <w:basedOn w:val="Normal"/>
    <w:qFormat/>
    <w:pPr/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2c3636"/>
    <w:pPr>
      <w:spacing w:lineRule="auto" w:line="240"/>
    </w:pPr>
    <w:rPr>
      <w:rFonts w:ascii="Tahoma" w:hAnsi="Tahoma" w:cs="Mangal"/>
      <w:sz w:val="16"/>
      <w:szCs w:val="14"/>
    </w:rPr>
  </w:style>
  <w:style w:type="paragraph" w:styleId="Rodap">
    <w:name w:val="Footer"/>
    <w:basedOn w:val="Normal"/>
    <w:link w:val="RodapChar"/>
    <w:uiPriority w:val="99"/>
    <w:unhideWhenUsed/>
    <w:rsid w:val="002c3636"/>
    <w:pPr>
      <w:tabs>
        <w:tab w:val="clear" w:pos="720"/>
        <w:tab w:val="center" w:pos="4252" w:leader="none"/>
        <w:tab w:val="right" w:pos="8504" w:leader="none"/>
      </w:tabs>
      <w:spacing w:lineRule="auto" w:line="240"/>
    </w:pPr>
    <w:rPr>
      <w:rFonts w:cs="Mangal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1445</TotalTime>
  <Application>LibreOffice/6.1.2.1$Windows_x86 LibreOffice_project/65905a128db06ba48db947242809d14d3f9a93fe</Application>
  <Pages>3</Pages>
  <Words>352</Words>
  <Characters>2001</Characters>
  <CharactersWithSpaces>2303</CharactersWithSpaces>
  <Paragraphs>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2024-06-18T16:36:00Z</dcterms:created>
  <dc:creator/>
  <dc:description/>
  <dc:language>pt-BR</dc:language>
  <cp:lastModifiedBy/>
  <dcterms:modified xsi:type="dcterms:W3CDTF">2024-07-31T16:21:25Z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