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wmf" ContentType="image/x-wmf"/>
  <Override PartName="/word/header2.xml" ContentType="application/vnd.openxmlformats-officedocument.wordprocessingml.head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b/>
          <w:bCs/>
        </w:rPr>
      </w:pPr>
      <w:r>
        <w:rPr/>
        <w:drawing>
          <wp:inline distT="0" distB="0" distL="0" distR="0">
            <wp:extent cx="6031865" cy="8531860"/>
            <wp:effectExtent l="0" t="0" r="0" b="0"/>
            <wp:docPr id="1" name="Imagem 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2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1865" cy="853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>
          <w:b/>
          <w:bCs/>
        </w:rPr>
      </w:pPr>
      <w:r>
        <w:rPr>
          <w:b/>
          <w:bCs/>
        </w:rPr>
      </w:r>
    </w:p>
    <w:p>
      <w:pPr>
        <w:pStyle w:val="Normal"/>
        <w:jc w:val="center"/>
        <w:rPr>
          <w:b/>
          <w:bCs/>
        </w:rPr>
      </w:pPr>
      <w:r>
        <w:rPr>
          <w:b/>
          <w:bCs/>
        </w:rPr>
        <w:t>JOSÉ TIAGO CAMARGO DO AMARAL</w:t>
      </w:r>
    </w:p>
    <w:p>
      <w:pPr>
        <w:pStyle w:val="Normal"/>
        <w:jc w:val="center"/>
        <w:rPr/>
      </w:pPr>
      <w:r>
        <w:rPr/>
        <w:t>Prefeito do Município de Londrina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>
          <w:b/>
          <w:bCs/>
        </w:rPr>
      </w:pPr>
      <w:r>
        <w:rPr>
          <w:b/>
          <w:bCs/>
        </w:rPr>
        <w:t>GUILHERME ARRUDA SANTOS</w:t>
      </w:r>
    </w:p>
    <w:p>
      <w:pPr>
        <w:pStyle w:val="Normal"/>
        <w:jc w:val="center"/>
        <w:rPr/>
      </w:pPr>
      <w:r>
        <w:rPr/>
        <w:t>Ouvidor-Geral do Município</w:t>
      </w:r>
    </w:p>
    <w:p>
      <w:pPr>
        <w:pStyle w:val="Normal"/>
        <w:jc w:val="center"/>
        <w:rPr/>
      </w:pPr>
      <w:r>
        <w:rPr/>
        <w:t>Encarregado de Dados Pessoais</w:t>
      </w:r>
    </w:p>
    <w:p>
      <w:pPr>
        <w:pStyle w:val="Normal"/>
        <w:jc w:val="center"/>
        <w:rPr>
          <w:b/>
          <w:bCs/>
        </w:rPr>
      </w:pPr>
      <w:r>
        <w:rPr>
          <w:b/>
          <w:bCs/>
        </w:rPr>
      </w:r>
    </w:p>
    <w:p>
      <w:pPr>
        <w:pStyle w:val="Normal"/>
        <w:jc w:val="center"/>
        <w:rPr>
          <w:b/>
          <w:bCs/>
        </w:rPr>
      </w:pPr>
      <w:r>
        <w:rPr>
          <w:b/>
          <w:bCs/>
        </w:rPr>
      </w:r>
    </w:p>
    <w:p>
      <w:pPr>
        <w:pStyle w:val="Normal"/>
        <w:jc w:val="center"/>
        <w:rPr>
          <w:b/>
          <w:bCs/>
        </w:rPr>
      </w:pPr>
      <w:r>
        <w:rPr>
          <w:b/>
          <w:bCs/>
        </w:rPr>
        <w:t>ALEXSANDRA CARLA DA VANÇO</w:t>
      </w:r>
    </w:p>
    <w:p>
      <w:pPr>
        <w:pStyle w:val="Normal"/>
        <w:jc w:val="center"/>
        <w:rPr/>
      </w:pPr>
      <w:r>
        <w:rPr/>
        <w:t>Ouvidora-Geral Adjunta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>
          <w:b/>
          <w:bCs/>
        </w:rPr>
      </w:pPr>
      <w:r>
        <w:rPr>
          <w:b/>
          <w:bCs/>
        </w:rPr>
      </w:r>
    </w:p>
    <w:p>
      <w:pPr>
        <w:pStyle w:val="Normal"/>
        <w:jc w:val="center"/>
        <w:rPr>
          <w:b/>
          <w:bCs/>
        </w:rPr>
      </w:pPr>
      <w:r>
        <w:rPr>
          <w:b/>
          <w:bCs/>
        </w:rPr>
        <w:t>ANA PAULA BAPTISTA FAUSTINO</w:t>
      </w:r>
    </w:p>
    <w:p>
      <w:pPr>
        <w:pStyle w:val="Normal"/>
        <w:jc w:val="center"/>
        <w:rPr/>
      </w:pPr>
      <w:r>
        <w:rPr/>
        <w:t>Ouvidora Adjunta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>
          <w:b/>
          <w:bCs/>
        </w:rPr>
      </w:pPr>
      <w:r>
        <w:rPr>
          <w:b/>
          <w:bCs/>
        </w:rPr>
        <w:t>JHONATAN WESLLEY CHAPIESK</w:t>
      </w:r>
    </w:p>
    <w:p>
      <w:pPr>
        <w:pStyle w:val="Normal"/>
        <w:jc w:val="center"/>
        <w:rPr/>
      </w:pPr>
      <w:r>
        <w:rPr/>
        <w:t>Ouvidor Adjunto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>
          <w:b/>
          <w:bCs/>
        </w:rPr>
      </w:pPr>
      <w:r>
        <w:rPr>
          <w:b/>
          <w:bCs/>
        </w:rPr>
        <w:t>JULIANA MARTINS SIMÕES</w:t>
      </w:r>
    </w:p>
    <w:p>
      <w:pPr>
        <w:pStyle w:val="Normal"/>
        <w:jc w:val="center"/>
        <w:rPr/>
      </w:pPr>
      <w:r>
        <w:rPr/>
        <w:t>Ouvidora Adjunta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>
          <w:b/>
          <w:bCs/>
        </w:rPr>
      </w:pPr>
      <w:r>
        <w:rPr>
          <w:b/>
          <w:bCs/>
        </w:rPr>
        <w:t>KETHLYNN KAUANA FERREIRA</w:t>
      </w:r>
    </w:p>
    <w:p>
      <w:pPr>
        <w:pStyle w:val="Normal"/>
        <w:jc w:val="center"/>
        <w:rPr/>
      </w:pPr>
      <w:r>
        <w:rPr/>
        <w:t>Ouvidora Adjunta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>
          <w:b/>
          <w:bCs/>
        </w:rPr>
      </w:pPr>
      <w:r>
        <w:rPr>
          <w:b/>
          <w:bCs/>
        </w:rPr>
        <w:t>JANE CAROLINE GALDIN</w:t>
      </w:r>
    </w:p>
    <w:p>
      <w:pPr>
        <w:pStyle w:val="Normal"/>
        <w:jc w:val="center"/>
        <w:rPr/>
      </w:pPr>
      <w:r>
        <w:rPr/>
        <w:t>Ouvidora Adjunta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TOCHeading"/>
        <w:rPr>
          <w:rFonts w:ascii="Calibri" w:hAnsi="Calibri" w:cs="Calibri"/>
          <w:b/>
          <w:bCs/>
          <w:color w:val="auto"/>
          <w:sz w:val="24"/>
          <w:szCs w:val="24"/>
        </w:rPr>
      </w:pPr>
      <w:bookmarkStart w:id="0" w:name="_Hlk227938062"/>
      <w:r>
        <w:rPr>
          <w:rFonts w:cs="Calibri" w:ascii="Calibri" w:hAnsi="Calibri"/>
          <w:b/>
          <w:bCs/>
          <w:color w:val="auto"/>
          <w:sz w:val="24"/>
          <w:szCs w:val="24"/>
        </w:rPr>
        <w:t>SUMÁRIO</w:t>
      </w:r>
    </w:p>
    <w:p>
      <w:pPr>
        <w:pStyle w:val="Normal"/>
        <w:rPr>
          <w:lang w:eastAsia="pt-BR"/>
        </w:rPr>
      </w:pPr>
      <w:r>
        <w:rPr>
          <w:lang w:eastAsia="pt-BR"/>
        </w:rPr>
      </w:r>
    </w:p>
    <w:p>
      <w:pPr>
        <w:pStyle w:val="TOC1"/>
        <w:spacing w:lineRule="auto" w:line="360" w:before="0" w:after="100"/>
        <w:contextualSpacing/>
        <w:rPr>
          <w:b w:val="false"/>
          <w:bCs w:val="false"/>
        </w:rPr>
      </w:pPr>
      <w:bookmarkStart w:id="1" w:name="_Hlk227937486"/>
      <w:r>
        <w:rPr>
          <w:b w:val="false"/>
          <w:bCs w:val="false"/>
        </w:rPr>
        <w:t xml:space="preserve">1. Introdução </w:t>
        <w:tab/>
        <w:t>4</w:t>
      </w:r>
    </w:p>
    <w:p>
      <w:pPr>
        <w:pStyle w:val="TOC1"/>
        <w:spacing w:lineRule="auto" w:line="360" w:before="0" w:after="100"/>
        <w:contextualSpacing/>
        <w:rPr>
          <w:b w:val="false"/>
          <w:bCs w:val="false"/>
        </w:rPr>
      </w:pPr>
      <w:r>
        <w:rPr>
          <w:b w:val="false"/>
          <w:bCs w:val="false"/>
        </w:rPr>
        <w:t xml:space="preserve">2. </w:t>
      </w:r>
      <w:r>
        <w:rPr>
          <w:rFonts w:cs="Calibri" w:ascii="Calibri" w:hAnsi="Calibri"/>
          <w:b w:val="false"/>
          <w:bCs w:val="false"/>
        </w:rPr>
        <w:t>Análise geral dos dados e tempo médio de resposta</w:t>
      </w:r>
      <w:r>
        <w:rPr>
          <w:b w:val="false"/>
          <w:bCs w:val="false"/>
        </w:rPr>
        <w:t xml:space="preserve"> </w:t>
        <w:tab/>
        <w:t>5</w:t>
      </w:r>
      <w:bookmarkEnd w:id="0"/>
      <w:bookmarkEnd w:id="1"/>
    </w:p>
    <w:p>
      <w:pPr>
        <w:pStyle w:val="TOC1"/>
        <w:spacing w:lineRule="auto" w:line="360" w:before="0" w:after="100"/>
        <w:contextualSpacing/>
        <w:rPr>
          <w:b w:val="false"/>
          <w:bCs w:val="false"/>
        </w:rPr>
      </w:pPr>
      <w:r>
        <w:rPr>
          <w:b w:val="false"/>
          <w:bCs w:val="false"/>
        </w:rPr>
        <w:t xml:space="preserve">3. </w:t>
      </w:r>
      <w:r>
        <w:rPr>
          <w:rFonts w:cs="Calibri" w:cstheme="minorHAnsi"/>
          <w:b w:val="false"/>
          <w:bCs w:val="false"/>
        </w:rPr>
        <w:t>Análise do número de pedidos recebidos, atendidos e indeferidos</w:t>
      </w:r>
      <w:r>
        <w:rPr>
          <w:b w:val="false"/>
          <w:bCs w:val="false"/>
        </w:rPr>
        <w:tab/>
        <w:t>6</w:t>
      </w:r>
    </w:p>
    <w:p>
      <w:pPr>
        <w:pStyle w:val="TOC1"/>
        <w:spacing w:lineRule="auto" w:line="360" w:before="0" w:after="100"/>
        <w:contextualSpacing/>
        <w:rPr>
          <w:b w:val="false"/>
          <w:bCs w:val="false"/>
        </w:rPr>
      </w:pPr>
      <w:r>
        <w:rPr>
          <w:b w:val="false"/>
          <w:bCs w:val="false"/>
        </w:rPr>
        <w:t xml:space="preserve">4. </w:t>
      </w:r>
      <w:r>
        <w:rPr>
          <w:rFonts w:cs="Calibri" w:cstheme="minorHAnsi"/>
          <w:b w:val="false"/>
          <w:bCs w:val="false"/>
        </w:rPr>
        <w:t>Ranking de órgãos e entidades</w:t>
      </w:r>
      <w:r>
        <w:rPr>
          <w:b w:val="false"/>
          <w:bCs w:val="false"/>
        </w:rPr>
        <w:tab/>
        <w:t>8</w:t>
      </w:r>
    </w:p>
    <w:p>
      <w:pPr>
        <w:pStyle w:val="TOC1"/>
        <w:spacing w:lineRule="auto" w:line="360" w:before="0" w:after="100"/>
        <w:contextualSpacing/>
        <w:rPr>
          <w:b w:val="false"/>
          <w:bCs w:val="false"/>
        </w:rPr>
      </w:pPr>
      <w:r>
        <w:rPr>
          <w:b w:val="false"/>
          <w:bCs w:val="false"/>
        </w:rPr>
        <w:t xml:space="preserve">5. </w:t>
      </w:r>
      <w:r>
        <w:rPr>
          <w:rFonts w:cs="Calibri" w:cstheme="minorHAnsi"/>
          <w:b w:val="false"/>
          <w:bCs w:val="false"/>
        </w:rPr>
        <w:t>Análise dos recursos interpostos</w:t>
      </w:r>
      <w:r>
        <w:rPr>
          <w:b w:val="false"/>
          <w:bCs w:val="false"/>
        </w:rPr>
        <w:tab/>
        <w:t>10</w:t>
      </w:r>
    </w:p>
    <w:p>
      <w:pPr>
        <w:pStyle w:val="TOC1"/>
        <w:spacing w:lineRule="auto" w:line="360" w:before="0" w:after="100"/>
        <w:contextualSpacing/>
        <w:rPr>
          <w:b w:val="false"/>
          <w:bCs w:val="false"/>
        </w:rPr>
      </w:pPr>
      <w:r>
        <w:rPr>
          <w:b w:val="false"/>
          <w:bCs w:val="false"/>
        </w:rPr>
        <w:t xml:space="preserve">6. </w:t>
      </w:r>
      <w:r>
        <w:rPr>
          <w:rFonts w:cs="Calibri" w:cstheme="minorHAnsi"/>
          <w:b w:val="false"/>
          <w:bCs w:val="false"/>
        </w:rPr>
        <w:t>Assuntos mais demandados</w:t>
      </w:r>
      <w:r>
        <w:rPr>
          <w:b w:val="false"/>
          <w:bCs w:val="false"/>
        </w:rPr>
        <w:tab/>
        <w:t>11</w:t>
      </w:r>
    </w:p>
    <w:p>
      <w:pPr>
        <w:pStyle w:val="TOC1"/>
        <w:spacing w:lineRule="auto" w:line="360" w:before="0" w:after="100"/>
        <w:contextualSpacing/>
        <w:rPr>
          <w:b w:val="false"/>
          <w:bCs w:val="false"/>
        </w:rPr>
      </w:pPr>
      <w:r>
        <w:rPr>
          <w:b w:val="false"/>
          <w:bCs w:val="false"/>
        </w:rPr>
        <w:t xml:space="preserve">7. </w:t>
      </w:r>
      <w:r>
        <w:rPr>
          <w:rFonts w:cs="Calibri" w:cstheme="minorHAnsi"/>
          <w:b w:val="false"/>
          <w:bCs w:val="false"/>
        </w:rPr>
        <w:t>Principais dificuldades no atendimento aos Pedidos de Acesso à Informação</w:t>
      </w:r>
      <w:r>
        <w:rPr>
          <w:b w:val="false"/>
          <w:bCs w:val="false"/>
        </w:rPr>
        <w:tab/>
        <w:t>13</w:t>
      </w:r>
    </w:p>
    <w:p>
      <w:pPr>
        <w:pStyle w:val="TOC1"/>
        <w:spacing w:lineRule="auto" w:line="360" w:before="0" w:after="100"/>
        <w:contextualSpacing/>
        <w:rPr>
          <w:b w:val="false"/>
          <w:bCs w:val="false"/>
        </w:rPr>
      </w:pPr>
      <w:r>
        <w:rPr>
          <w:b w:val="false"/>
          <w:bCs w:val="false"/>
        </w:rPr>
        <w:t xml:space="preserve">8. </w:t>
      </w:r>
      <w:r>
        <w:rPr>
          <w:rFonts w:cs="Calibri" w:cstheme="minorHAnsi"/>
          <w:b w:val="false"/>
          <w:bCs w:val="false"/>
        </w:rPr>
        <w:t>Recomendações e considerações finais</w:t>
      </w:r>
      <w:r>
        <w:rPr>
          <w:b w:val="false"/>
          <w:bCs w:val="false"/>
        </w:rPr>
        <w:tab/>
        <w:t>14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Calibri" w:hAnsi="Calibri" w:cs="Calibri"/>
          <w:b/>
          <w:bCs/>
        </w:rPr>
      </w:pPr>
      <w:r>
        <w:rPr>
          <w:rFonts w:cs="Calibri" w:ascii="Calibri" w:hAnsi="Calibri"/>
          <w:b/>
          <w:bCs/>
        </w:rPr>
        <w:t>Introdução</w:t>
      </w:r>
    </w:p>
    <w:p>
      <w:pPr>
        <w:pStyle w:val="Normal"/>
        <w:spacing w:lineRule="auto" w:line="360" w:before="0" w:after="160"/>
        <w:ind w:firstLine="1134"/>
        <w:contextualSpacing/>
        <w:jc w:val="both"/>
        <w:rPr>
          <w:rFonts w:ascii="Calibri" w:hAnsi="Calibri" w:cs="Calibri"/>
        </w:rPr>
      </w:pPr>
      <w:r>
        <w:rPr>
          <w:rFonts w:cs="Calibri" w:ascii="Calibri" w:hAnsi="Calibri"/>
        </w:rPr>
        <w:t>A Ouvidoria-Geral do Município (OGM), órgão vinculado à Chefia de Gabinete, atua como canal de interlocução entre os cidadãos e a Administração Municipal Direta e Indireta do Poder Executivo, promovendo o recebimento, a análise e o encaminhamento das manifestações relacionadas à prestação dos serviços públicos aos órgãos competentes. Também acompanha a qualidade das respostas fornecidas aos usuários de serviços públicos, bem como o cumprimento dos prazos legais aplicáveis.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>
          <w:rFonts w:ascii="Calibri" w:hAnsi="Calibri" w:cs="Calibri"/>
        </w:rPr>
      </w:pPr>
      <w:r>
        <w:rPr>
          <w:rFonts w:cs="Calibri" w:ascii="Calibri" w:hAnsi="Calibri"/>
        </w:rPr>
        <w:t>No campo da Transparência Passiva, a OGM é responsável pelo recebimento e tratamento dos Pedidos de Acesso à Informação, em conformidade com a Lei Federal nº 12.527/2011 (Lei de Acesso à Informação – LAI), regulamentada no âmbito municipal pelo Decreto nº 712/2015 e suas atualizações. Exerce ainda a função de Autoridade de Monitoramento, em atuação conjunta com a Controladoria-Geral do Município, contribuindo para o aprimoramento das políticas e práticas voltadas à garantia do direito de acesso à informação.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>
          <w:rFonts w:ascii="Calibri" w:hAnsi="Calibri" w:cs="Calibri"/>
        </w:rPr>
      </w:pPr>
      <w:r>
        <w:rPr>
          <w:rFonts w:cs="Calibri" w:ascii="Calibri" w:hAnsi="Calibri"/>
        </w:rPr>
        <w:t>No âmbito da Transparência Ativa, a OGM atua na disponibilização de informações e dados atualizados em seus canais institucionais, especialmente no sítio oficial do órgão, bem como no acompanhamento da qualidade das informações disponibilizadas na Carta de Serviços ao Usuário, fortalecendo a transparência e a orientação ao cidadão.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>
          <w:rFonts w:ascii="Calibri" w:hAnsi="Calibri" w:cs="Calibri"/>
        </w:rPr>
      </w:pPr>
      <w:r>
        <w:rPr>
          <w:rFonts w:cs="Calibri" w:ascii="Calibri" w:hAnsi="Calibri"/>
        </w:rPr>
        <w:t>Este relatório apresenta a análise do cumprimento da Lei de Acesso à Informação no âmbito da Prefeitura do Município de Londrina durante o exercício de 2025, com base em dados extraídos dos sistemas oficiais utilizados pela OGM e de bases complementares de monitoramento e gestão das manifestações, assegurando a fidedignidade e a rastreabilidade das informações apresentadas. As bases consultadas encontram-se disponíveis nos links abaixo, contidos no site oficial:</w:t>
      </w:r>
    </w:p>
    <w:p>
      <w:pPr>
        <w:pStyle w:val="ListParagraph"/>
        <w:numPr>
          <w:ilvl w:val="0"/>
          <w:numId w:val="3"/>
        </w:numPr>
        <w:spacing w:lineRule="auto" w:line="360"/>
        <w:jc w:val="both"/>
        <w:rPr>
          <w:rFonts w:ascii="Calibri" w:hAnsi="Calibri" w:cs="Calibri"/>
        </w:rPr>
      </w:pPr>
      <w:hyperlink r:id="rId3" w:tgtFrame="_new">
        <w:r>
          <w:rPr>
            <w:rStyle w:val="Hyperlink"/>
            <w:rFonts w:cs="Calibri" w:ascii="Calibri" w:hAnsi="Calibri"/>
          </w:rPr>
          <w:t>https://ouvidoria.londrina.pr.gov.br/index.php/dados-estatisticos/70-transparencia/315-dados-estatisticos-ogm-2025.html</w:t>
        </w:r>
      </w:hyperlink>
    </w:p>
    <w:p>
      <w:pPr>
        <w:pStyle w:val="ListParagraph"/>
        <w:numPr>
          <w:ilvl w:val="0"/>
          <w:numId w:val="3"/>
        </w:numPr>
        <w:spacing w:lineRule="auto" w:line="360"/>
        <w:jc w:val="both"/>
        <w:rPr>
          <w:rFonts w:ascii="Calibri" w:hAnsi="Calibri" w:cs="Calibri"/>
        </w:rPr>
      </w:pPr>
      <w:hyperlink r:id="rId4">
        <w:r>
          <w:rPr>
            <w:rStyle w:val="Hyperlink"/>
            <w:rFonts w:cs="Calibri" w:ascii="Calibri" w:hAnsi="Calibri"/>
          </w:rPr>
          <w:t>https://ouvidoria.londrina.pr.gov.br/index.php/lai-relatorios/relatorios-2025.html</w:t>
        </w:r>
      </w:hyperlink>
      <w:r>
        <w:rPr>
          <w:rFonts w:cs="Calibri" w:ascii="Calibri" w:hAnsi="Calibri"/>
        </w:rPr>
        <w:t>.</w:t>
      </w:r>
    </w:p>
    <w:p>
      <w:pPr>
        <w:pStyle w:val="Normal"/>
        <w:spacing w:lineRule="auto" w:line="360" w:before="0" w:after="160"/>
        <w:contextualSpacing/>
        <w:jc w:val="both"/>
        <w:rPr>
          <w:rFonts w:ascii="Calibri" w:hAnsi="Calibri" w:cs="Calibri"/>
        </w:rPr>
      </w:pPr>
      <w:r>
        <w:rPr>
          <w:rFonts w:cs="Calibri" w:ascii="Calibri" w:hAnsi="Calibri"/>
        </w:rPr>
      </w:r>
    </w:p>
    <w:p>
      <w:pPr>
        <w:pStyle w:val="Normal"/>
        <w:spacing w:lineRule="auto" w:line="360" w:before="0" w:after="160"/>
        <w:ind w:firstLine="1134"/>
        <w:contextualSpacing/>
        <w:jc w:val="both"/>
        <w:rPr>
          <w:rFonts w:ascii="Calibri" w:hAnsi="Calibri" w:cs="Calibri"/>
        </w:rPr>
      </w:pPr>
      <w:r>
        <w:rPr>
          <w:rFonts w:cs="Calibri" w:ascii="Calibri" w:hAnsi="Calibri"/>
        </w:rPr>
        <w:t>O monitoramento contínuo do atendimento aos pedidos de acesso à informação busca fortalecer a transparência pública e a efetividade desse direito fundamental, além de permitir a identificação de desafios operacionais, oportunidades de aprimoramento e eventuais fragilidades nos fluxos de atendimento. A análise dos dados subsidia, ainda, o aperfeiçoamento da qualidade das respostas fornecidas aos cidadãos e o fortalecimento das práticas de governança e transparência no âmbito municipal.</w:t>
      </w:r>
    </w:p>
    <w:p>
      <w:pPr>
        <w:pStyle w:val="HTMLBottomofForm"/>
        <w:numPr>
          <w:ilvl w:val="0"/>
          <w:numId w:val="7"/>
        </w:numPr>
        <w:rPr/>
      </w:pPr>
      <w:r>
        <w:rPr/>
        <w:t>Parte inferior do formulário</w:t>
      </w:r>
    </w:p>
    <w:p>
      <w:pPr>
        <w:pStyle w:val="Normal"/>
        <w:ind w:left="360"/>
        <w:rPr/>
      </w:pPr>
      <w:r>
        <w:rPr/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/>
          <w:b/>
          <w:bCs/>
        </w:rPr>
      </w:pPr>
      <w:bookmarkStart w:id="2" w:name="_Hlk228437325"/>
      <w:r>
        <w:rPr>
          <w:rFonts w:cs="Calibri" w:ascii="Calibri" w:hAnsi="Calibri"/>
          <w:b/>
          <w:bCs/>
        </w:rPr>
        <w:t>Análise geral dos dados e tempo médio de resposta</w:t>
      </w:r>
      <w:bookmarkEnd w:id="2"/>
    </w:p>
    <w:p>
      <w:pPr>
        <w:pStyle w:val="Normal"/>
        <w:spacing w:lineRule="auto" w:line="360" w:before="0" w:after="160"/>
        <w:ind w:firstLine="1134"/>
        <w:contextualSpacing/>
        <w:jc w:val="both"/>
        <w:rPr>
          <w:rFonts w:ascii="Calibri" w:hAnsi="Calibri" w:cs="Calibri"/>
        </w:rPr>
      </w:pPr>
      <w:r>
        <w:rPr>
          <w:rFonts w:cs="Calibri" w:ascii="Calibri" w:hAnsi="Calibri"/>
        </w:rPr>
        <w:t>No âmbito do Município, o Serviço de Informações ao Cidadão (SIC) está integrado à estrutura da Ouvidoria-Geral do Município. Compete ao SIC assegurar o atendimento aos pedidos de acesso à informação previstos na Lei nº 12.527/2011, incluindo a análise de recursos e solicitações de desclassificação e reclassificação de informações.</w:t>
      </w:r>
    </w:p>
    <w:p>
      <w:pPr>
        <w:pStyle w:val="Normal"/>
        <w:spacing w:lineRule="auto" w:line="360" w:before="0" w:after="160"/>
        <w:contextualSpacing/>
        <w:jc w:val="both"/>
        <w:rPr>
          <w:rFonts w:ascii="Calibri" w:hAnsi="Calibri" w:cs="Calibri"/>
        </w:rPr>
      </w:pPr>
      <w:r>
        <w:rPr>
          <w:rFonts w:cs="Calibri" w:ascii="Calibri" w:hAnsi="Calibri"/>
        </w:rPr>
      </w:r>
    </w:p>
    <w:tbl>
      <w:tblPr>
        <w:tblStyle w:val="Tabelacomgrade"/>
        <w:tblW w:w="4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1"/>
        <w:gridCol w:w="1543"/>
        <w:gridCol w:w="1542"/>
        <w:gridCol w:w="1543"/>
      </w:tblGrid>
      <w:tr>
        <w:trPr/>
        <w:tc>
          <w:tcPr>
            <w:tcW w:w="3081" w:type="dxa"/>
            <w:tcBorders/>
          </w:tcPr>
          <w:p>
            <w:pPr>
              <w:pStyle w:val="Normal"/>
              <w:widowControl/>
              <w:spacing w:lineRule="auto" w:line="259" w:before="0" w:after="160"/>
              <w:jc w:val="center"/>
              <w:rPr>
                <w:b/>
                <w:bCs/>
              </w:rPr>
            </w:pPr>
            <w:r>
              <w:rPr>
                <w:rFonts w:eastAsia="Calibri" w:cs=""/>
                <w:b/>
                <w:bCs/>
                <w:kern w:val="2"/>
                <w:sz w:val="22"/>
                <w:szCs w:val="22"/>
                <w:lang w:val="pt-BR" w:eastAsia="en-US" w:bidi="ar-SA"/>
              </w:rPr>
              <w:t>Indicador</w:t>
            </w:r>
          </w:p>
        </w:tc>
        <w:tc>
          <w:tcPr>
            <w:tcW w:w="1543" w:type="dxa"/>
            <w:tcBorders/>
          </w:tcPr>
          <w:p>
            <w:pPr>
              <w:pStyle w:val="Normal"/>
              <w:widowControl/>
              <w:spacing w:lineRule="auto" w:line="259" w:before="0" w:after="160"/>
              <w:jc w:val="center"/>
              <w:rPr>
                <w:b/>
                <w:bCs/>
              </w:rPr>
            </w:pPr>
            <w:r>
              <w:rPr>
                <w:rFonts w:eastAsia="Calibri" w:cs=""/>
                <w:b/>
                <w:bCs/>
                <w:kern w:val="2"/>
                <w:sz w:val="22"/>
                <w:szCs w:val="22"/>
                <w:lang w:val="pt-BR" w:eastAsia="en-US" w:bidi="ar-SA"/>
              </w:rPr>
              <w:t>2024</w:t>
            </w:r>
          </w:p>
        </w:tc>
        <w:tc>
          <w:tcPr>
            <w:tcW w:w="1542" w:type="dxa"/>
            <w:tcBorders/>
          </w:tcPr>
          <w:p>
            <w:pPr>
              <w:pStyle w:val="Normal"/>
              <w:widowControl/>
              <w:spacing w:lineRule="auto" w:line="259" w:before="0" w:after="160"/>
              <w:jc w:val="center"/>
              <w:rPr>
                <w:b/>
                <w:bCs/>
              </w:rPr>
            </w:pPr>
            <w:r>
              <w:rPr>
                <w:rFonts w:eastAsia="Calibri" w:cs=""/>
                <w:b/>
                <w:bCs/>
                <w:kern w:val="2"/>
                <w:sz w:val="22"/>
                <w:szCs w:val="22"/>
                <w:lang w:val="pt-BR" w:eastAsia="en-US" w:bidi="ar-SA"/>
              </w:rPr>
              <w:t>2025</w:t>
            </w:r>
          </w:p>
        </w:tc>
        <w:tc>
          <w:tcPr>
            <w:tcW w:w="1543" w:type="dxa"/>
            <w:tcBorders/>
          </w:tcPr>
          <w:p>
            <w:pPr>
              <w:pStyle w:val="Normal"/>
              <w:widowControl/>
              <w:spacing w:lineRule="auto" w:line="259" w:before="0" w:after="160"/>
              <w:jc w:val="center"/>
              <w:rPr>
                <w:b/>
                <w:bCs/>
              </w:rPr>
            </w:pPr>
            <w:r>
              <w:rPr>
                <w:rFonts w:eastAsia="Calibri" w:cs=""/>
                <w:b/>
                <w:bCs/>
                <w:kern w:val="2"/>
                <w:sz w:val="22"/>
                <w:szCs w:val="22"/>
                <w:lang w:val="pt-BR" w:eastAsia="en-US" w:bidi="ar-SA"/>
              </w:rPr>
              <w:t>Variação</w:t>
            </w:r>
          </w:p>
        </w:tc>
      </w:tr>
      <w:tr>
        <w:trPr/>
        <w:tc>
          <w:tcPr>
            <w:tcW w:w="3081" w:type="dxa"/>
            <w:tcBorders/>
          </w:tcPr>
          <w:p>
            <w:pPr>
              <w:pStyle w:val="Normal"/>
              <w:widowControl/>
              <w:spacing w:lineRule="auto" w:line="259" w:before="0" w:after="160"/>
              <w:jc w:val="center"/>
              <w:rPr>
                <w:rFonts w:ascii="Calibri" w:hAnsi="Calibri" w:eastAsia="Calibri" w:cs=""/>
                <w:kern w:val="2"/>
                <w:sz w:val="22"/>
                <w:szCs w:val="22"/>
                <w:lang w:val="pt-BR" w:eastAsia="en-US" w:bidi="ar-SA"/>
              </w:rPr>
            </w:pPr>
            <w:r>
              <w:rPr>
                <w:rFonts w:eastAsia="Calibri" w:cs=""/>
                <w:kern w:val="2"/>
                <w:sz w:val="22"/>
                <w:szCs w:val="22"/>
                <w:lang w:val="pt-BR" w:eastAsia="en-US" w:bidi="ar-SA"/>
              </w:rPr>
              <w:t>Pedidos recebidos</w:t>
            </w:r>
          </w:p>
        </w:tc>
        <w:tc>
          <w:tcPr>
            <w:tcW w:w="1543" w:type="dxa"/>
            <w:tcBorders/>
          </w:tcPr>
          <w:p>
            <w:pPr>
              <w:pStyle w:val="Normal"/>
              <w:widowControl/>
              <w:spacing w:lineRule="auto" w:line="259" w:before="0" w:after="160"/>
              <w:jc w:val="center"/>
              <w:rPr>
                <w:rFonts w:ascii="Calibri" w:hAnsi="Calibri" w:eastAsia="Calibri" w:cs=""/>
                <w:kern w:val="2"/>
                <w:sz w:val="22"/>
                <w:szCs w:val="22"/>
                <w:lang w:val="pt-BR" w:eastAsia="en-US" w:bidi="ar-SA"/>
              </w:rPr>
            </w:pPr>
            <w:r>
              <w:rPr>
                <w:rFonts w:eastAsia="Calibri" w:cs=""/>
                <w:kern w:val="2"/>
                <w:sz w:val="22"/>
                <w:szCs w:val="22"/>
                <w:lang w:val="pt-BR" w:eastAsia="en-US" w:bidi="ar-SA"/>
              </w:rPr>
              <w:t>976</w:t>
            </w:r>
          </w:p>
        </w:tc>
        <w:tc>
          <w:tcPr>
            <w:tcW w:w="1542" w:type="dxa"/>
            <w:tcBorders/>
          </w:tcPr>
          <w:p>
            <w:pPr>
              <w:pStyle w:val="Normal"/>
              <w:widowControl/>
              <w:spacing w:lineRule="auto" w:line="259" w:before="0" w:after="160"/>
              <w:jc w:val="center"/>
              <w:rPr>
                <w:rFonts w:ascii="Calibri" w:hAnsi="Calibri" w:eastAsia="Calibri" w:cs=""/>
                <w:kern w:val="2"/>
                <w:sz w:val="22"/>
                <w:szCs w:val="22"/>
                <w:lang w:val="pt-BR" w:eastAsia="en-US" w:bidi="ar-SA"/>
              </w:rPr>
            </w:pPr>
            <w:r>
              <w:rPr>
                <w:rFonts w:eastAsia="Calibri" w:cs=""/>
                <w:kern w:val="2"/>
                <w:sz w:val="22"/>
                <w:szCs w:val="22"/>
                <w:lang w:val="pt-BR" w:eastAsia="en-US" w:bidi="ar-SA"/>
              </w:rPr>
              <w:t>1478</w:t>
            </w:r>
          </w:p>
        </w:tc>
        <w:tc>
          <w:tcPr>
            <w:tcW w:w="1543" w:type="dxa"/>
            <w:tcBorders/>
          </w:tcPr>
          <w:p>
            <w:pPr>
              <w:pStyle w:val="Normal"/>
              <w:widowControl/>
              <w:spacing w:lineRule="auto" w:line="259" w:before="0" w:after="160"/>
              <w:jc w:val="center"/>
              <w:rPr>
                <w:rFonts w:ascii="Calibri" w:hAnsi="Calibri" w:eastAsia="Calibri" w:cs=""/>
                <w:kern w:val="2"/>
                <w:sz w:val="22"/>
                <w:szCs w:val="22"/>
                <w:lang w:val="pt-BR" w:eastAsia="en-US" w:bidi="ar-SA"/>
              </w:rPr>
            </w:pPr>
            <w:r>
              <w:rPr>
                <w:rFonts w:eastAsia="Calibri" w:cs=""/>
                <w:kern w:val="2"/>
                <w:sz w:val="22"/>
                <w:szCs w:val="22"/>
                <w:lang w:val="pt-BR" w:eastAsia="en-US" w:bidi="ar-SA"/>
              </w:rPr>
              <w:t>+33,96%</w:t>
            </w:r>
          </w:p>
        </w:tc>
      </w:tr>
      <w:tr>
        <w:trPr/>
        <w:tc>
          <w:tcPr>
            <w:tcW w:w="3081" w:type="dxa"/>
            <w:tcBorders/>
          </w:tcPr>
          <w:p>
            <w:pPr>
              <w:pStyle w:val="Normal"/>
              <w:widowControl/>
              <w:spacing w:lineRule="auto" w:line="259" w:before="0" w:after="160"/>
              <w:jc w:val="center"/>
              <w:rPr>
                <w:rFonts w:ascii="Calibri" w:hAnsi="Calibri" w:eastAsia="Calibri" w:cs=""/>
                <w:kern w:val="2"/>
                <w:sz w:val="22"/>
                <w:szCs w:val="22"/>
                <w:lang w:val="pt-BR" w:eastAsia="en-US" w:bidi="ar-SA"/>
              </w:rPr>
            </w:pPr>
            <w:r>
              <w:rPr>
                <w:rFonts w:eastAsia="Calibri" w:cs=""/>
                <w:kern w:val="2"/>
                <w:sz w:val="22"/>
                <w:szCs w:val="22"/>
                <w:lang w:val="pt-BR" w:eastAsia="en-US" w:bidi="ar-SA"/>
              </w:rPr>
              <w:t>Tempo médio de resposta (dias)</w:t>
            </w:r>
          </w:p>
        </w:tc>
        <w:tc>
          <w:tcPr>
            <w:tcW w:w="1543" w:type="dxa"/>
            <w:tcBorders/>
          </w:tcPr>
          <w:p>
            <w:pPr>
              <w:pStyle w:val="Normal"/>
              <w:widowControl/>
              <w:spacing w:lineRule="auto" w:line="259" w:before="0" w:after="160"/>
              <w:jc w:val="center"/>
              <w:rPr>
                <w:rFonts w:ascii="Calibri" w:hAnsi="Calibri" w:eastAsia="Calibri" w:cs=""/>
                <w:kern w:val="2"/>
                <w:sz w:val="22"/>
                <w:szCs w:val="22"/>
                <w:lang w:val="pt-BR" w:eastAsia="en-US" w:bidi="ar-SA"/>
              </w:rPr>
            </w:pPr>
            <w:r>
              <w:rPr>
                <w:rFonts w:eastAsia="Calibri" w:cs=""/>
                <w:kern w:val="2"/>
                <w:sz w:val="22"/>
                <w:szCs w:val="22"/>
                <w:lang w:val="pt-BR" w:eastAsia="en-US" w:bidi="ar-SA"/>
              </w:rPr>
              <w:t>3,25</w:t>
            </w:r>
          </w:p>
        </w:tc>
        <w:tc>
          <w:tcPr>
            <w:tcW w:w="1542" w:type="dxa"/>
            <w:tcBorders/>
          </w:tcPr>
          <w:p>
            <w:pPr>
              <w:pStyle w:val="Normal"/>
              <w:widowControl/>
              <w:spacing w:lineRule="auto" w:line="259" w:before="0" w:after="160"/>
              <w:jc w:val="center"/>
              <w:rPr>
                <w:rFonts w:ascii="Calibri" w:hAnsi="Calibri" w:eastAsia="Calibri" w:cs=""/>
                <w:kern w:val="2"/>
                <w:sz w:val="22"/>
                <w:szCs w:val="22"/>
                <w:lang w:val="pt-BR" w:eastAsia="en-US" w:bidi="ar-SA"/>
              </w:rPr>
            </w:pPr>
            <w:r>
              <w:rPr>
                <w:rFonts w:eastAsia="Calibri" w:cs=""/>
                <w:kern w:val="2"/>
                <w:sz w:val="22"/>
                <w:szCs w:val="22"/>
                <w:lang w:val="pt-BR" w:eastAsia="en-US" w:bidi="ar-SA"/>
              </w:rPr>
              <w:t>4,08</w:t>
            </w:r>
          </w:p>
        </w:tc>
        <w:tc>
          <w:tcPr>
            <w:tcW w:w="1543" w:type="dxa"/>
            <w:tcBorders/>
          </w:tcPr>
          <w:p>
            <w:pPr>
              <w:pStyle w:val="Normal"/>
              <w:widowControl/>
              <w:spacing w:lineRule="auto" w:line="259" w:before="0" w:after="160"/>
              <w:jc w:val="center"/>
              <w:rPr>
                <w:rFonts w:ascii="Calibri" w:hAnsi="Calibri" w:eastAsia="Calibri" w:cs=""/>
                <w:kern w:val="2"/>
                <w:sz w:val="22"/>
                <w:szCs w:val="22"/>
                <w:lang w:val="pt-BR" w:eastAsia="en-US" w:bidi="ar-SA"/>
              </w:rPr>
            </w:pPr>
            <w:r>
              <w:rPr>
                <w:rFonts w:eastAsia="Calibri" w:cs=""/>
                <w:kern w:val="2"/>
                <w:sz w:val="22"/>
                <w:szCs w:val="22"/>
                <w:lang w:val="pt-BR" w:eastAsia="en-US" w:bidi="ar-SA"/>
              </w:rPr>
              <w:t>-20,34%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A análise dos indicadores relativos aos Pedidos de Acesso à Informação evidencia aumento significativo da demanda no período, com crescimento de 976 registros em 2024 para 1.478 em 2025, o que representa variação de 33,96%. Esse resultado reforça a ampliação do uso da Ouvidoria como canal para o exercício do direito de acesso à informação.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Em relação ao tempo médio de resposta, observa-se aumento de 3,25 para 4,08 dias. Apesar da elevação, os prazos permanecem em patamar reduzido e significativamente inferiores ao limite legal, indicando manutenção da eficiência no atendimento, mesmo diante do crescimento da demanda.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Destaca-se que as respostas aos pedidos de acesso à informação são elaboradas pelos órgãos e entidades responsáveis pelas informações, cabendo à Ouvidoria o recebimento, encaminhamento e monitoramento das demandas. Nesse contexto, os dados evidenciam adequada articulação entre a Ouvidoria e as unidades responsáveis, garantindo a tempestividade das respostas.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De forma geral, observa-se que o sistema tem sido capaz de absorver o aumento expressivo dos pedidos de acesso à informação sem comprometimento relevante dos prazos, evidenciando a efetividade dos fluxos estabelecidos.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No que se refere à distribuição mensal, temos o seguinte: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</w:r>
    </w:p>
    <w:tbl>
      <w:tblPr>
        <w:tblW w:w="260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062"/>
        <w:gridCol w:w="1537"/>
      </w:tblGrid>
      <w:tr>
        <w:trPr>
          <w:trHeight w:val="600" w:hRule="atLeast"/>
        </w:trPr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b/>
                <w:bCs/>
                <w:color w:val="000000"/>
                <w:kern w:val="0"/>
                <w:lang w:eastAsia="pt-BR"/>
                <w14:ligatures w14:val="none"/>
              </w:rPr>
              <w:t>Mês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b/>
                <w:bCs/>
                <w:color w:val="000000"/>
                <w:kern w:val="0"/>
                <w:lang w:eastAsia="pt-BR"/>
                <w14:ligatures w14:val="none"/>
              </w:rPr>
              <w:t>Quantidade de manifestações</w:t>
            </w:r>
          </w:p>
        </w:tc>
      </w:tr>
      <w:tr>
        <w:trPr>
          <w:trHeight w:val="300" w:hRule="atLeast"/>
        </w:trPr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janeiro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kern w:val="0"/>
                <w:lang w:eastAsia="pt-BR"/>
                <w14:ligatures w14:val="none"/>
              </w:rPr>
              <w:t>149</w:t>
            </w:r>
          </w:p>
        </w:tc>
      </w:tr>
      <w:tr>
        <w:trPr>
          <w:trHeight w:val="300" w:hRule="atLeast"/>
        </w:trPr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fevereiro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kern w:val="0"/>
                <w:lang w:eastAsia="pt-BR"/>
                <w14:ligatures w14:val="none"/>
              </w:rPr>
              <w:t>113</w:t>
            </w:r>
          </w:p>
        </w:tc>
      </w:tr>
      <w:tr>
        <w:trPr>
          <w:trHeight w:val="300" w:hRule="atLeast"/>
        </w:trPr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março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kern w:val="0"/>
                <w:lang w:eastAsia="pt-BR"/>
                <w14:ligatures w14:val="none"/>
              </w:rPr>
              <w:t>162</w:t>
            </w:r>
          </w:p>
        </w:tc>
      </w:tr>
      <w:tr>
        <w:trPr>
          <w:trHeight w:val="300" w:hRule="atLeast"/>
        </w:trPr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abril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116</w:t>
            </w:r>
          </w:p>
        </w:tc>
      </w:tr>
      <w:tr>
        <w:trPr>
          <w:trHeight w:val="300" w:hRule="atLeast"/>
        </w:trPr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maio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121</w:t>
            </w:r>
          </w:p>
        </w:tc>
      </w:tr>
      <w:tr>
        <w:trPr>
          <w:trHeight w:val="300" w:hRule="atLeast"/>
        </w:trPr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junho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91</w:t>
            </w:r>
          </w:p>
        </w:tc>
      </w:tr>
      <w:tr>
        <w:trPr>
          <w:trHeight w:val="300" w:hRule="atLeast"/>
        </w:trPr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julho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111</w:t>
            </w:r>
          </w:p>
        </w:tc>
      </w:tr>
      <w:tr>
        <w:trPr>
          <w:trHeight w:val="300" w:hRule="atLeast"/>
        </w:trPr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agosto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101</w:t>
            </w:r>
          </w:p>
        </w:tc>
      </w:tr>
      <w:tr>
        <w:trPr>
          <w:trHeight w:val="300" w:hRule="atLeast"/>
        </w:trPr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setembro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119</w:t>
            </w:r>
          </w:p>
        </w:tc>
      </w:tr>
      <w:tr>
        <w:trPr>
          <w:trHeight w:val="300" w:hRule="atLeast"/>
        </w:trPr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outubro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106</w:t>
            </w:r>
          </w:p>
        </w:tc>
      </w:tr>
      <w:tr>
        <w:trPr>
          <w:trHeight w:val="300" w:hRule="atLeast"/>
        </w:trPr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novembro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124</w:t>
            </w:r>
          </w:p>
        </w:tc>
      </w:tr>
      <w:tr>
        <w:trPr>
          <w:trHeight w:val="300" w:hRule="atLeast"/>
        </w:trPr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dezembro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165</w:t>
            </w:r>
          </w:p>
        </w:tc>
      </w:tr>
      <w:tr>
        <w:trPr>
          <w:trHeight w:val="300" w:hRule="atLeast"/>
        </w:trPr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b/>
                <w:bCs/>
                <w:color w:val="000000"/>
                <w:kern w:val="0"/>
                <w:lang w:eastAsia="pt-BR"/>
                <w14:ligatures w14:val="none"/>
              </w:rPr>
              <w:t>Total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Cs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b/>
                <w:bCs/>
                <w:kern w:val="0"/>
                <w:lang w:eastAsia="pt-BR"/>
                <w14:ligatures w14:val="none"/>
              </w:rPr>
              <w:t>1478</w:t>
            </w:r>
          </w:p>
        </w:tc>
      </w:tr>
    </w:tbl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drawing>
          <wp:inline distT="0" distB="0" distL="0" distR="0">
            <wp:extent cx="4572000" cy="2743200"/>
            <wp:effectExtent l="0" t="0" r="0" b="0"/>
            <wp:docPr id="2" name="Gráfico 1" descr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cs="Calibri" w:cstheme="minorHAnsi"/>
          <w:b/>
          <w:bCs/>
        </w:rPr>
      </w:pPr>
      <w:bookmarkStart w:id="3" w:name="_Hlk228437366"/>
      <w:r>
        <w:rPr>
          <w:rFonts w:cs="Calibri" w:cstheme="minorHAnsi"/>
          <w:b/>
          <w:bCs/>
        </w:rPr>
        <w:t xml:space="preserve">Análise do número de pedidos recebidos, atendidos e </w:t>
      </w:r>
      <w:bookmarkEnd w:id="3"/>
      <w:r>
        <w:rPr>
          <w:rFonts w:cs="Calibri" w:cstheme="minorHAnsi"/>
          <w:b/>
          <w:bCs/>
        </w:rPr>
        <w:t>indeferidos</w:t>
      </w:r>
    </w:p>
    <w:p>
      <w:pPr>
        <w:pStyle w:val="Normal"/>
        <w:spacing w:lineRule="auto" w:line="360" w:before="0" w:after="160"/>
        <w:ind w:firstLine="1134"/>
        <w:contextualSpacing/>
        <w:jc w:val="both"/>
        <w:rPr>
          <w:rFonts w:cs="Calibri" w:cstheme="minorHAnsi"/>
        </w:rPr>
      </w:pPr>
      <w:r>
        <w:rPr>
          <w:rFonts w:cs="Calibri" w:cstheme="minorHAnsi"/>
        </w:rPr>
        <w:t xml:space="preserve">Em conformidade com o art. 30 da Lei nº 12.527/2011 (Lei de Acesso à Informação), divulgamos abaixo o número de solicitações recebidas, atendidas e indeferidas. </w:t>
      </w:r>
    </w:p>
    <w:p>
      <w:pPr>
        <w:pStyle w:val="Normal"/>
        <w:spacing w:lineRule="auto" w:line="240" w:before="0" w:after="160"/>
        <w:ind w:left="3686"/>
        <w:contextualSpacing/>
        <w:jc w:val="both"/>
        <w:rPr>
          <w:rFonts w:cs="Calibri" w:cstheme="minorHAnsi"/>
          <w:sz w:val="18"/>
          <w:szCs w:val="18"/>
        </w:rPr>
      </w:pPr>
      <w:r>
        <w:rPr>
          <w:rFonts w:cs="Calibri" w:cstheme="minorHAnsi"/>
          <w:sz w:val="18"/>
          <w:szCs w:val="18"/>
        </w:rPr>
        <w:t>Art. 30. A autoridade máxima de cada órgão ou entidade publicará, anualmente, em sítio à disposição na internet e destinado à veiculação de dados e informações administrativas, nos termos de regulamento:</w:t>
      </w:r>
    </w:p>
    <w:p>
      <w:pPr>
        <w:pStyle w:val="Normal"/>
        <w:spacing w:lineRule="auto" w:line="240" w:before="0" w:after="160"/>
        <w:ind w:left="3686"/>
        <w:contextualSpacing/>
        <w:jc w:val="both"/>
        <w:rPr>
          <w:rFonts w:cs="Calibri" w:cstheme="minorHAnsi"/>
          <w:sz w:val="18"/>
          <w:szCs w:val="18"/>
        </w:rPr>
      </w:pPr>
      <w:r>
        <w:rPr>
          <w:rFonts w:cs="Calibri" w:cstheme="minorHAnsi"/>
          <w:sz w:val="18"/>
          <w:szCs w:val="18"/>
        </w:rPr>
        <w:t xml:space="preserve">(...) </w:t>
      </w:r>
    </w:p>
    <w:p>
      <w:pPr>
        <w:pStyle w:val="Normal"/>
        <w:spacing w:lineRule="auto" w:line="240" w:before="0" w:after="160"/>
        <w:ind w:left="3686"/>
        <w:contextualSpacing/>
        <w:jc w:val="both"/>
        <w:rPr>
          <w:rFonts w:cs="Calibri" w:cstheme="minorHAnsi"/>
          <w:sz w:val="18"/>
          <w:szCs w:val="18"/>
        </w:rPr>
      </w:pPr>
      <w:r>
        <w:rPr>
          <w:rFonts w:cs="Calibri" w:cstheme="minorHAnsi"/>
          <w:sz w:val="18"/>
          <w:szCs w:val="18"/>
        </w:rPr>
        <w:t>III - relatório estatístico contendo a quantidade de pedidos de informação recebidos, atendidos e indeferidos, bem como informações genéricas sobre os solicitantes.</w:t>
      </w:r>
    </w:p>
    <w:p>
      <w:pPr>
        <w:pStyle w:val="Normal"/>
        <w:spacing w:lineRule="auto" w:line="360" w:before="0" w:after="160"/>
        <w:contextualSpacing/>
        <w:jc w:val="both"/>
        <w:rPr/>
      </w:pPr>
      <w:r>
        <w:rPr/>
      </w:r>
    </w:p>
    <w:tbl>
      <w:tblPr>
        <w:tblW w:w="1000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380"/>
        <w:gridCol w:w="5560"/>
        <w:gridCol w:w="2060"/>
      </w:tblGrid>
      <w:tr>
        <w:trPr>
          <w:trHeight w:val="615" w:hRule="atLeast"/>
        </w:trPr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b/>
                <w:bCs/>
                <w:color w:val="000000"/>
                <w:kern w:val="0"/>
                <w:lang w:eastAsia="pt-BR"/>
                <w14:ligatures w14:val="none"/>
              </w:rPr>
              <w:t>Respostas dos Pedidos de Acesso à Informação</w:t>
            </w:r>
          </w:p>
        </w:tc>
        <w:tc>
          <w:tcPr>
            <w:tcW w:w="5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b/>
                <w:bCs/>
                <w:color w:val="000000"/>
                <w:kern w:val="0"/>
                <w:lang w:eastAsia="pt-BR"/>
                <w14:ligatures w14:val="none"/>
              </w:rPr>
              <w:t>Descrição</w:t>
            </w: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b/>
                <w:bCs/>
                <w:color w:val="000000"/>
                <w:kern w:val="0"/>
                <w:lang w:eastAsia="pt-BR"/>
                <w14:ligatures w14:val="none"/>
              </w:rPr>
              <w:t>Quantidade de manifestações</w:t>
            </w:r>
          </w:p>
        </w:tc>
      </w:tr>
      <w:tr>
        <w:trPr>
          <w:trHeight w:val="915" w:hRule="atLeast"/>
        </w:trPr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Pedidos não atendidos</w:t>
            </w:r>
          </w:p>
        </w:tc>
        <w:tc>
          <w:tcPr>
            <w:tcW w:w="5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 w:cstheme="minorHAnsi"/>
                <w:color w:val="000000"/>
                <w:kern w:val="0"/>
                <w:lang w:eastAsia="pt-BR"/>
                <w14:ligatures w14:val="none"/>
              </w:rPr>
              <w:t>São aqueles que versam sobre matéria da competência legal de outro órgão, que solicitam informação inexistente ou por serem solicitações duplicadas.</w:t>
            </w: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79</w:t>
            </w:r>
          </w:p>
        </w:tc>
      </w:tr>
      <w:tr>
        <w:trPr>
          <w:trHeight w:val="915" w:hRule="atLeast"/>
        </w:trPr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Pedido não respondido pelo órgão</w:t>
            </w:r>
          </w:p>
        </w:tc>
        <w:tc>
          <w:tcPr>
            <w:tcW w:w="5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 w:cstheme="minorHAnsi"/>
                <w:color w:val="000000"/>
                <w:kern w:val="0"/>
                <w:lang w:eastAsia="pt-BR"/>
                <w14:ligatures w14:val="none"/>
              </w:rPr>
              <w:t>São aqueles em que a resposta não foi disponibilizada pelo órgão responsável até a publicação do relatório.</w:t>
            </w: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2</w:t>
            </w:r>
          </w:p>
        </w:tc>
      </w:tr>
      <w:tr>
        <w:trPr>
          <w:trHeight w:val="615" w:hRule="atLeast"/>
        </w:trPr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Pedidos negados</w:t>
            </w:r>
          </w:p>
        </w:tc>
        <w:tc>
          <w:tcPr>
            <w:tcW w:w="5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 w:cstheme="minorHAnsi"/>
                <w:color w:val="000000"/>
                <w:kern w:val="0"/>
                <w:lang w:eastAsia="pt-BR"/>
                <w14:ligatures w14:val="none"/>
              </w:rPr>
              <w:t>São aqueles em que o órgão nega motivadamente o acesso à informação.</w:t>
            </w: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20</w:t>
            </w:r>
          </w:p>
        </w:tc>
      </w:tr>
      <w:tr>
        <w:trPr>
          <w:trHeight w:val="915" w:hRule="atLeast"/>
        </w:trPr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Pedidos parcialmente atendidos</w:t>
            </w:r>
          </w:p>
        </w:tc>
        <w:tc>
          <w:tcPr>
            <w:tcW w:w="5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 w:cstheme="minorHAnsi"/>
                <w:color w:val="000000"/>
                <w:kern w:val="0"/>
                <w:lang w:eastAsia="pt-BR"/>
                <w14:ligatures w14:val="none"/>
              </w:rPr>
              <w:t>São aqueles em que a informação foi parcialmente franqueada ao usuário.</w:t>
            </w: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35</w:t>
            </w:r>
          </w:p>
        </w:tc>
      </w:tr>
      <w:tr>
        <w:trPr>
          <w:trHeight w:val="915" w:hRule="atLeast"/>
        </w:trPr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Pedidos totalmente atendidos</w:t>
            </w:r>
          </w:p>
        </w:tc>
        <w:tc>
          <w:tcPr>
            <w:tcW w:w="5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 w:cstheme="minorHAnsi"/>
                <w:color w:val="000000"/>
                <w:kern w:val="0"/>
                <w:lang w:eastAsia="pt-BR"/>
                <w14:ligatures w14:val="none"/>
              </w:rPr>
              <w:t>São aqueles em que a informação foi totalmente franqueada ao usuário.</w:t>
            </w: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1342</w:t>
            </w:r>
          </w:p>
        </w:tc>
      </w:tr>
      <w:tr>
        <w:trPr>
          <w:trHeight w:val="315" w:hRule="atLeast"/>
        </w:trPr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b/>
                <w:bCs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5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Calibri" w:hAnsi="Calibri" w:eastAsia="Times New Roman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b/>
                <w:bCs/>
                <w:color w:val="000000"/>
                <w:kern w:val="0"/>
                <w:lang w:eastAsia="pt-BR"/>
                <w14:ligatures w14:val="none"/>
              </w:rPr>
              <w:t>Pedidos recebidos</w:t>
            </w: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b/>
                <w:bCs/>
                <w:color w:val="000000"/>
                <w:kern w:val="0"/>
                <w:lang w:eastAsia="pt-BR"/>
                <w14:ligatures w14:val="none"/>
              </w:rPr>
              <w:t>1478</w:t>
            </w:r>
          </w:p>
        </w:tc>
      </w:tr>
    </w:tbl>
    <w:p>
      <w:pPr>
        <w:pStyle w:val="Normal"/>
        <w:spacing w:lineRule="auto" w:line="360" w:before="0" w:after="160"/>
        <w:contextualSpacing/>
        <w:jc w:val="both"/>
        <w:rPr/>
      </w:pPr>
      <w:r>
        <w:rPr/>
      </w:r>
    </w:p>
    <w:p>
      <w:pPr>
        <w:pStyle w:val="Normal"/>
        <w:spacing w:lineRule="auto" w:line="360" w:before="0" w:after="160"/>
        <w:contextualSpacing/>
        <w:jc w:val="both"/>
        <w:rPr/>
      </w:pPr>
      <w:r>
        <w:rPr/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drawing>
          <wp:inline distT="0" distB="0" distL="0" distR="0">
            <wp:extent cx="4572000" cy="2743200"/>
            <wp:effectExtent l="0" t="0" r="0" b="0"/>
            <wp:docPr id="3" name="Objeto2" descr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No exercício analisado, foram recebidos 1.478 Pedidos de Acesso à Informação, dos quais 1.342 foram totalmente atendidos, correspondendo a aproximadamente 90,8% do total de pedidos registrados. Esse resultado demonstra elevado índice de atendimento e reforça o compromisso da Administração Municipal com a transparência e com a efetivação do direito de acesso à informação.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Também foram registrados 35 pedidos parcialmente atendidos (2,4%), casos em que houve fornecimento parcial das informações solicitadas, observadas as limitações legais ou mat</w:t>
      </w:r>
      <w:r>
        <w:rPr/>
        <w:t>é</w:t>
      </w:r>
      <w:r>
        <w:rPr/>
        <w:t>r</w:t>
      </w:r>
      <w:r>
        <w:rPr/>
        <w:t>ia</w:t>
      </w:r>
      <w:r>
        <w:rPr/>
        <w:t>s aplicáveis.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Os 20 pedidos negados (1,4%) referem-se a situações em que o acesso à informação foi indeferido de forma motivada, nos termos da legislação vigente, evidenciando a aplicação dos critérios legais para proteção de informações sujeitas a restrição de acesso ou demais hipóteses previstas na Lei de Acesso à Informação.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Os 79 pedidos classificados como não atendidos (5,3%) correspondem, em sua maioria, a demandas que versavam sobre matérias fora da competência dos órgãos municipais, pedidos relativos a informações inexistentes ou manifestações duplicadas, hipóteses que não configuram negativa de acesso, mas impossibilidade de atendimento nos termos apresentados.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Registra-se, ainda, a existência de 2 pedidos não respondidos pelo órgão até a data de consolidação deste relatório, representando percentual residual de 0,1%, situação que demanda acompanhamento para prevenção de ocorrências semelhantes.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De modo geral, os dados evidenciam predominância de atendimento integral às solicitações, com baixa incidência de negativas e reduzido volume de pendências, indicando desempenho satisfatório na gestão dos pedidos de acesso à informação, sem prejuízo de oportunidades de aperfeiçoamento dos fluxos internos e do monitoramento contínuo da qualidade das respostas.</w:t>
      </w:r>
    </w:p>
    <w:p>
      <w:pPr>
        <w:pStyle w:val="Normal"/>
        <w:spacing w:lineRule="auto" w:line="360" w:before="0" w:after="160"/>
        <w:contextualSpacing/>
        <w:jc w:val="both"/>
        <w:rPr/>
      </w:pPr>
      <w:r>
        <w:rPr/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b/>
          <w:bCs/>
        </w:rPr>
      </w:pPr>
      <w:r>
        <w:rPr>
          <w:b/>
          <w:bCs/>
        </w:rPr>
        <w:t>Ranking de órgão e entidades</w:t>
      </w:r>
    </w:p>
    <w:p>
      <w:pPr>
        <w:pStyle w:val="Normal"/>
        <w:spacing w:lineRule="auto" w:line="360" w:before="0" w:after="160"/>
        <w:ind w:firstLine="1134"/>
        <w:contextualSpacing/>
        <w:jc w:val="both"/>
        <w:rPr>
          <w:rFonts w:cs="Calibri" w:cstheme="minorHAnsi"/>
        </w:rPr>
      </w:pPr>
      <w:r>
        <w:rPr/>
        <w:t xml:space="preserve">Segue dados extraídos da base sobre </w:t>
      </w:r>
      <w:r>
        <w:rPr>
          <w:rFonts w:cs="Calibri" w:cstheme="minorHAnsi"/>
        </w:rPr>
        <w:t>o ranking de órgãos/entidades que mais responderam Pedidos de Acesso à Informação: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</w:r>
    </w:p>
    <w:tbl>
      <w:tblPr>
        <w:tblW w:w="370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485"/>
        <w:gridCol w:w="1214"/>
      </w:tblGrid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b/>
                <w:bCs/>
                <w:color w:val="000000"/>
                <w:kern w:val="0"/>
                <w:lang w:eastAsia="pt-BR"/>
                <w14:ligatures w14:val="none"/>
              </w:rPr>
              <w:t>ÓRGÃO/ENTIDADE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b/>
                <w:bCs/>
                <w:color w:val="000000"/>
                <w:kern w:val="0"/>
                <w:lang w:eastAsia="pt-BR"/>
                <w14:ligatures w14:val="none"/>
              </w:rPr>
              <w:t>Quantidade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OUVIDORIA-GERAL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563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SAÚDE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197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RECURSOS HUMANOS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109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FAZENDA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99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CMTU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59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OBRAS E PAVIMENTAÇÃO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56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ASSISTÊNCIA SOCIAL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30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GESTÃO PÚBLICA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30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IPPUL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30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EDUCAÇÃO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30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AMBIENTE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24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DEFESA SOCIAL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23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PROCURADORIA-GERAL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21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FEL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20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CULTURA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20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LONDRINA ILUMINAÇÃO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19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COHAB-LD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19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PLANEJAMENTO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16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ACESF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16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CTD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16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CODEL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16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GOVERNO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15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CAAPSML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15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CONTROLADORIA-GERAL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9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CHEFIA DE GABINETE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7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IDOSO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6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AGRICULTURA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6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MULHER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5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TRABALHO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3</w:t>
            </w:r>
          </w:p>
        </w:tc>
      </w:tr>
      <w:tr>
        <w:trPr>
          <w:trHeight w:val="300" w:hRule="atLeast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Calibri" w:hAnsi="Calibri" w:eastAsia="Times New Roman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b/>
                <w:bCs/>
                <w:color w:val="000000"/>
                <w:kern w:val="0"/>
                <w:lang w:eastAsia="pt-BR"/>
                <w14:ligatures w14:val="none"/>
              </w:rPr>
              <w:t>total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b/>
                <w:bCs/>
                <w:color w:val="000000"/>
                <w:kern w:val="0"/>
                <w:lang w:eastAsia="pt-BR"/>
                <w14:ligatures w14:val="none"/>
              </w:rPr>
              <w:t>1479</w:t>
            </w:r>
          </w:p>
        </w:tc>
      </w:tr>
    </w:tbl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</w:r>
    </w:p>
    <w:p>
      <w:pPr>
        <w:pStyle w:val="Normal"/>
        <w:spacing w:lineRule="auto" w:line="360" w:before="0" w:after="160"/>
        <w:contextualSpacing/>
        <w:jc w:val="both"/>
        <w:rPr/>
      </w:pPr>
      <w:r>
        <w:rPr/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Destaca-se a Ouvidoria-Geral, com 563 pedidos, seguida por Saúde (197), Recursos Humanos (109) e Fazenda (99), configurando-se como os principais polos de demanda informacional no período analisado.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Destaca-se, de forma expressiva, a Ouvidoria-Geral, com 563 pedidos de acesso à informação, volume significativamente superior ao dos demais órgãos. Esse dado indica centralidade da unidade também como canal de acesso à informação, para além de sua atuação típica no tratamento de manifestações de ouvidoria. O resultado pode refletir tanto a visibilidade institucional da Ouvidoria como porta de entrada para demandas diversas, quanto a utilização do canal para pedidos que poderiam, em muitos casos, ser direcionados diretamente a outros órgãos ou supridos por mecanismos mais robustos de transparência ativa.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Esse cenário também sugere que a Ouvidoria, além de operacionalizar o fluxo dos pedidos de acesso à informação, acaba absorvendo demanda informacional decorrente de dificuldades dos usuários em identificar canais e competências institucionais, o que reforça seu papel de mediação e orientação já evidenciado em outras partes do Relatório de Gestão 2025.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No caso da Saúde, o volume expressivo de pedidos pode refletir elevada demanda por informações relacionadas à oferta e organização dos serviços, bem como potencial oportunidade de aprimoramento da transparência ativa em temas de maior interesse social.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Em Recursos Humanos, a posição de destaque reforça a relevância das demandas por informações funcionais e administrativas, indicando sensibilidade informacional em temas relacionados à gestão de pessoas e aos direitos dos agentes públicos.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Já na Fazenda, a recorrência de pedidos de informação sugere padrão compatível com a complexidade dos serviços tributários e cadastrais, reforçando a importância da clareza dos fluxos informacionais e da disponibilização ativa de informações ao cidadão.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Também merecem destaque CMTU (59) e Obras e Pavimentação (56), indicando demanda informacional relevante em áreas associadas à infraestrutura urbana e serviços de uso cotidiano, temas tradicionalmente sensíveis à percepção dos usuários.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Observa-se, ainda, grupo intermediário de órgãos com volumes semelhantes — como Educação, Assistência Social, Gestão Pública e IPPUL — o que indica dispersão moderada das demandas informacionais em outras políticas públicas, sem, contudo, configurar concentração crítica.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De forma geral, os dados sugerem que os pedidos de acesso à informação têm se concentrado sobretudo em áreas onde há maior complexidade procedimental, elevado interesse público ou necessidade recorrente de orientação, reforçando a relevância da transparência ativa como estratégia para redução de demandas repetitivas e ampliação do acesso qualificado à informação.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Sob a perspectiva da gestão, o cenário indica oportunidade de utilização desses dados como insumo para revisão de conteúdos de transparência ativa, aprimoramento de canais informacionais e identificação de temas em que a recorrência de pedidos pode sinalizar lacunas na divulgação espontânea de informações pelos órgãos e entidades.</w:t>
      </w:r>
    </w:p>
    <w:p>
      <w:pPr>
        <w:pStyle w:val="Normal"/>
        <w:spacing w:lineRule="auto" w:line="360" w:before="0" w:after="160"/>
        <w:contextualSpacing/>
        <w:jc w:val="both"/>
        <w:rPr>
          <w:rFonts w:cs="Calibri" w:cstheme="minorHAnsi"/>
        </w:rPr>
      </w:pPr>
      <w:r>
        <w:rPr>
          <w:rFonts w:cs="Calibri" w:cstheme="minorHAnsi"/>
        </w:rPr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cs="Calibri" w:cstheme="minorHAnsi"/>
          <w:b/>
          <w:bCs/>
        </w:rPr>
      </w:pPr>
      <w:r>
        <w:rPr>
          <w:rFonts w:cs="Calibri" w:cstheme="minorHAnsi"/>
          <w:b/>
          <w:bCs/>
        </w:rPr>
        <w:t>Análise dos recursos interpostos</w:t>
      </w:r>
    </w:p>
    <w:p>
      <w:pPr>
        <w:pStyle w:val="Normal"/>
        <w:spacing w:lineRule="auto" w:line="360" w:before="0" w:after="160"/>
        <w:ind w:firstLine="1134"/>
        <w:contextualSpacing/>
        <w:jc w:val="both"/>
        <w:rPr>
          <w:rFonts w:cs="Calibri" w:cstheme="minorHAnsi"/>
        </w:rPr>
      </w:pPr>
      <w:r>
        <w:rPr>
          <w:rFonts w:cs="Calibri" w:cstheme="minorHAnsi"/>
        </w:rPr>
        <w:t>A Lei de Acesso à Informação menciona ainda que o cidadão, nos termos do art. 15, pode interpor recurso ao Pedido de Acesso à Informação:</w:t>
      </w:r>
    </w:p>
    <w:p>
      <w:pPr>
        <w:pStyle w:val="Normal"/>
        <w:spacing w:lineRule="auto" w:line="240" w:before="0" w:after="160"/>
        <w:ind w:left="3686"/>
        <w:contextualSpacing/>
        <w:jc w:val="both"/>
        <w:rPr>
          <w:rFonts w:cs="Calibri" w:cstheme="minorHAnsi"/>
          <w:sz w:val="18"/>
          <w:szCs w:val="18"/>
        </w:rPr>
      </w:pPr>
      <w:r>
        <w:rPr>
          <w:rFonts w:cs="Calibri" w:cstheme="minorHAnsi"/>
          <w:sz w:val="18"/>
          <w:szCs w:val="18"/>
        </w:rPr>
        <w:t>Art. 15. No caso de indeferimento de acesso a informações ou às razões da negativa do acesso, poderá o interessado interpor recurso contra a decisão no prazo de 10 (dez) dias a contar da sua ciência.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>
          <w:rFonts w:cs="Calibri" w:cstheme="minorHAnsi"/>
        </w:rPr>
      </w:pPr>
      <w:r>
        <w:rPr>
          <w:rFonts w:cs="Calibri" w:cstheme="minorHAnsi"/>
        </w:rPr>
      </w:r>
    </w:p>
    <w:p>
      <w:pPr>
        <w:pStyle w:val="Normal"/>
        <w:spacing w:lineRule="auto" w:line="360" w:before="0" w:after="160"/>
        <w:ind w:firstLine="1134"/>
        <w:contextualSpacing/>
        <w:jc w:val="both"/>
        <w:rPr>
          <w:rFonts w:cs="Calibri" w:cstheme="minorHAnsi"/>
        </w:rPr>
      </w:pPr>
      <w:r>
        <w:rPr>
          <w:rFonts w:cs="Calibri" w:cstheme="minorHAnsi"/>
        </w:rPr>
        <w:t>Seguem dados extraídos da base sobre a temática:</w:t>
      </w:r>
    </w:p>
    <w:p>
      <w:pPr>
        <w:pStyle w:val="Normal"/>
        <w:spacing w:lineRule="auto" w:line="360" w:before="0" w:after="160"/>
        <w:contextualSpacing/>
        <w:jc w:val="both"/>
        <w:rPr/>
      </w:pPr>
      <w:r>
        <w:rPr/>
      </w:r>
    </w:p>
    <w:tbl>
      <w:tblPr>
        <w:tblW w:w="300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227"/>
        <w:gridCol w:w="1772"/>
      </w:tblGrid>
      <w:tr>
        <w:trPr>
          <w:trHeight w:val="600" w:hRule="atLeast"/>
        </w:trPr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b/>
                <w:bCs/>
                <w:color w:val="000000"/>
                <w:kern w:val="0"/>
                <w:lang w:eastAsia="pt-BR"/>
                <w14:ligatures w14:val="none"/>
              </w:rPr>
              <w:t>MÊS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b/>
                <w:bCs/>
                <w:color w:val="000000"/>
                <w:kern w:val="0"/>
                <w:lang w:eastAsia="pt-BR"/>
                <w14:ligatures w14:val="none"/>
              </w:rPr>
              <w:t>QUANTIDADE DE MANIFESTAÇÕES</w:t>
            </w:r>
          </w:p>
        </w:tc>
      </w:tr>
      <w:tr>
        <w:trPr>
          <w:trHeight w:val="300" w:hRule="atLeast"/>
        </w:trPr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JANEIRO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0</w:t>
            </w:r>
          </w:p>
        </w:tc>
      </w:tr>
      <w:tr>
        <w:trPr>
          <w:trHeight w:val="300" w:hRule="atLeast"/>
        </w:trPr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FEVEREIRO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</w:t>
            </w:r>
          </w:p>
        </w:tc>
      </w:tr>
      <w:tr>
        <w:trPr>
          <w:trHeight w:val="300" w:hRule="atLeast"/>
        </w:trPr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MARÇO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2</w:t>
            </w:r>
          </w:p>
        </w:tc>
      </w:tr>
      <w:tr>
        <w:trPr>
          <w:trHeight w:val="300" w:hRule="atLeast"/>
        </w:trPr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ABRIL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0</w:t>
            </w:r>
          </w:p>
        </w:tc>
      </w:tr>
      <w:tr>
        <w:trPr>
          <w:trHeight w:val="300" w:hRule="atLeast"/>
        </w:trPr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MAIO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2</w:t>
            </w:r>
          </w:p>
        </w:tc>
      </w:tr>
      <w:tr>
        <w:trPr>
          <w:trHeight w:val="300" w:hRule="atLeast"/>
        </w:trPr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JUNHO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0</w:t>
            </w:r>
          </w:p>
        </w:tc>
      </w:tr>
      <w:tr>
        <w:trPr>
          <w:trHeight w:val="300" w:hRule="atLeast"/>
        </w:trPr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JULHO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</w:t>
            </w:r>
          </w:p>
        </w:tc>
      </w:tr>
      <w:tr>
        <w:trPr>
          <w:trHeight w:val="300" w:hRule="atLeast"/>
        </w:trPr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AGOSTO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3</w:t>
            </w:r>
          </w:p>
        </w:tc>
      </w:tr>
      <w:tr>
        <w:trPr>
          <w:trHeight w:val="300" w:hRule="atLeast"/>
        </w:trPr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SETEMBRO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2</w:t>
            </w:r>
          </w:p>
        </w:tc>
      </w:tr>
      <w:tr>
        <w:trPr>
          <w:trHeight w:val="300" w:hRule="atLeast"/>
        </w:trPr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OUTUBRO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</w:t>
            </w:r>
          </w:p>
        </w:tc>
      </w:tr>
      <w:tr>
        <w:trPr>
          <w:trHeight w:val="300" w:hRule="atLeast"/>
        </w:trPr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NOVEMBRO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2</w:t>
            </w:r>
          </w:p>
        </w:tc>
      </w:tr>
      <w:tr>
        <w:trPr>
          <w:trHeight w:val="300" w:hRule="atLeast"/>
        </w:trPr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DEZEMBRO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3</w:t>
            </w:r>
          </w:p>
        </w:tc>
      </w:tr>
      <w:tr>
        <w:trPr>
          <w:trHeight w:val="300" w:hRule="atLeast"/>
        </w:trPr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b/>
                <w:bCs/>
                <w:color w:val="000000"/>
                <w:kern w:val="0"/>
                <w:lang w:eastAsia="pt-BR"/>
                <w14:ligatures w14:val="none"/>
              </w:rPr>
              <w:t>TOTAL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b/>
                <w:bCs/>
                <w:color w:val="000000"/>
                <w:kern w:val="0"/>
                <w:lang w:eastAsia="pt-BR"/>
                <w14:ligatures w14:val="none"/>
              </w:rPr>
              <w:t>17</w:t>
            </w:r>
          </w:p>
        </w:tc>
      </w:tr>
    </w:tbl>
    <w:p>
      <w:pPr>
        <w:pStyle w:val="Normal"/>
        <w:spacing w:lineRule="auto" w:line="360" w:before="0" w:after="160"/>
        <w:contextualSpacing/>
        <w:jc w:val="both"/>
        <w:rPr/>
      </w:pPr>
      <w:r>
        <w:rPr/>
      </w:r>
    </w:p>
    <w:p>
      <w:pPr>
        <w:pStyle w:val="Normal"/>
        <w:spacing w:lineRule="auto" w:line="360" w:before="0" w:after="160"/>
        <w:contextualSpacing/>
        <w:jc w:val="both"/>
        <w:rPr/>
      </w:pPr>
      <w:r>
        <w:rPr/>
      </w:r>
    </w:p>
    <w:p>
      <w:pPr>
        <w:pStyle w:val="Normal"/>
        <w:spacing w:lineRule="auto" w:line="360" w:before="0" w:after="160"/>
        <w:contextualSpacing/>
        <w:jc w:val="center"/>
        <w:rPr/>
      </w:pPr>
      <w:r>
        <w:rPr/>
        <w:drawing>
          <wp:inline distT="0" distB="0" distL="0" distR="0">
            <wp:extent cx="4572000" cy="2743200"/>
            <wp:effectExtent l="0" t="0" r="0" b="0"/>
            <wp:docPr id="4" name="Objeto3" descr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>
      <w:pPr>
        <w:pStyle w:val="Normal"/>
        <w:spacing w:lineRule="auto" w:line="360" w:before="0" w:after="160"/>
        <w:contextualSpacing/>
        <w:jc w:val="both"/>
        <w:rPr/>
      </w:pPr>
      <w:r>
        <w:rPr/>
      </w:r>
    </w:p>
    <w:p>
      <w:pPr>
        <w:pStyle w:val="Normal"/>
        <w:spacing w:lineRule="auto" w:line="360" w:before="0" w:after="160"/>
        <w:contextualSpacing/>
        <w:jc w:val="both"/>
        <w:rPr/>
      </w:pPr>
      <w:r>
        <w:rPr/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No que se refere aos Recursos, no ano de 2024 foram protocolados 11, enquanto em 2025 registraram-se 17, indicando aumento no número de contestações apresentadas pelos usuários. Esse crescimento, contudo, deve ser analisado em conjunto com a ampliação do número de Pedidos de Acesso à Informação no período, de modo que a elevação dos recursos acompanha, ao menos em parte, o aumento do volume de demandas submetidas ao sistema, não sugerindo, isoladamente, redução na qualidade das respostas.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Apesar desse crescimento, o volume de recursos permanece reduzido em relação ao total de pedidos de acesso à informação, o que pode indicar, de modo geral, adequação das respostas apresentadas pelos órgãos e entidades, bem como baixa incidência de inconformismo dos usuários em relação às respostas recebidas.</w:t>
      </w:r>
    </w:p>
    <w:p>
      <w:pPr>
        <w:pStyle w:val="Normal"/>
        <w:spacing w:lineRule="auto" w:line="360" w:before="0" w:after="160"/>
        <w:contextualSpacing/>
        <w:jc w:val="both"/>
        <w:rPr/>
      </w:pPr>
      <w:r>
        <w:rPr/>
      </w:r>
    </w:p>
    <w:p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Assuntos mais demandados</w:t>
      </w:r>
    </w:p>
    <w:p>
      <w:pPr>
        <w:pStyle w:val="ListParagraph"/>
        <w:jc w:val="center"/>
        <w:rPr/>
      </w:pPr>
      <w:r>
        <w:rPr/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412"/>
        <w:gridCol w:w="4002"/>
        <w:gridCol w:w="1224"/>
      </w:tblGrid>
      <w:tr>
        <w:trPr>
          <w:trHeight w:val="300" w:hRule="atLeast"/>
        </w:trPr>
        <w:tc>
          <w:tcPr>
            <w:tcW w:w="4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b/>
                <w:bCs/>
                <w:color w:val="000000"/>
                <w:kern w:val="0"/>
                <w:lang w:eastAsia="pt-BR"/>
                <w14:ligatures w14:val="none"/>
              </w:rPr>
              <w:t>ASSUNTO 1</w:t>
            </w:r>
          </w:p>
        </w:tc>
        <w:tc>
          <w:tcPr>
            <w:tcW w:w="4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b/>
                <w:bCs/>
                <w:color w:val="000000"/>
                <w:kern w:val="0"/>
                <w:lang w:eastAsia="pt-BR"/>
                <w14:ligatures w14:val="none"/>
              </w:rPr>
              <w:t>ASSUNTO 2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b/>
                <w:bCs/>
                <w:color w:val="000000"/>
                <w:kern w:val="0"/>
                <w:lang w:eastAsia="pt-BR"/>
                <w14:ligatures w14:val="none"/>
              </w:rPr>
              <w:t>Quantidade</w:t>
            </w:r>
          </w:p>
        </w:tc>
      </w:tr>
      <w:tr>
        <w:trPr>
          <w:trHeight w:val="300" w:hRule="atLeast"/>
        </w:trPr>
        <w:tc>
          <w:tcPr>
            <w:tcW w:w="4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INFORMAÇÕES</w:t>
            </w:r>
          </w:p>
        </w:tc>
        <w:tc>
          <w:tcPr>
            <w:tcW w:w="4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QUADRO DE PESSOAL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179</w:t>
            </w:r>
          </w:p>
        </w:tc>
      </w:tr>
      <w:tr>
        <w:trPr>
          <w:trHeight w:val="300" w:hRule="atLeast"/>
        </w:trPr>
        <w:tc>
          <w:tcPr>
            <w:tcW w:w="4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FAZENDA/RESPOSTA EMITIDA PELA OUVIDORIA</w:t>
            </w:r>
          </w:p>
        </w:tc>
        <w:tc>
          <w:tcPr>
            <w:tcW w:w="4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IPTU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120</w:t>
            </w:r>
          </w:p>
        </w:tc>
      </w:tr>
      <w:tr>
        <w:trPr>
          <w:trHeight w:val="300" w:hRule="atLeast"/>
        </w:trPr>
        <w:tc>
          <w:tcPr>
            <w:tcW w:w="4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INFORMAÇÕES</w:t>
            </w:r>
          </w:p>
        </w:tc>
        <w:tc>
          <w:tcPr>
            <w:tcW w:w="4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TESTE SELETIVO/CONCURSO PÚBLICO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93</w:t>
            </w:r>
          </w:p>
        </w:tc>
      </w:tr>
      <w:tr>
        <w:trPr>
          <w:trHeight w:val="300" w:hRule="atLeast"/>
        </w:trPr>
        <w:tc>
          <w:tcPr>
            <w:tcW w:w="4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FAZENDA/RESPOSTA EMITIDA PELA OUVIDORIA</w:t>
            </w:r>
          </w:p>
        </w:tc>
        <w:tc>
          <w:tcPr>
            <w:tcW w:w="4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CADASTRO IMOBILIÁRIO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81</w:t>
            </w:r>
          </w:p>
        </w:tc>
      </w:tr>
      <w:tr>
        <w:trPr>
          <w:trHeight w:val="300" w:hRule="atLeast"/>
        </w:trPr>
        <w:tc>
          <w:tcPr>
            <w:tcW w:w="4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FAZENDA/RESPOSTA EMITIDA PELA OUVIDORIA</w:t>
            </w:r>
          </w:p>
        </w:tc>
        <w:tc>
          <w:tcPr>
            <w:tcW w:w="4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DÍVIDA ATIVA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69</w:t>
            </w:r>
          </w:p>
        </w:tc>
      </w:tr>
      <w:tr>
        <w:trPr>
          <w:trHeight w:val="300" w:hRule="atLeast"/>
        </w:trPr>
        <w:tc>
          <w:tcPr>
            <w:tcW w:w="4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INFORMAÇÕES</w:t>
            </w:r>
          </w:p>
        </w:tc>
        <w:tc>
          <w:tcPr>
            <w:tcW w:w="4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BENS PÚBLICOS MUNICIPAIS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56</w:t>
            </w:r>
          </w:p>
        </w:tc>
      </w:tr>
      <w:tr>
        <w:trPr>
          <w:trHeight w:val="300" w:hRule="atLeast"/>
        </w:trPr>
        <w:tc>
          <w:tcPr>
            <w:tcW w:w="4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INFORMAÇÕES</w:t>
            </w:r>
          </w:p>
        </w:tc>
        <w:tc>
          <w:tcPr>
            <w:tcW w:w="4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SISTEMAS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41</w:t>
            </w:r>
          </w:p>
        </w:tc>
      </w:tr>
      <w:tr>
        <w:trPr>
          <w:trHeight w:val="300" w:hRule="atLeast"/>
        </w:trPr>
        <w:tc>
          <w:tcPr>
            <w:tcW w:w="4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INFORMAÇÕES</w:t>
            </w:r>
          </w:p>
        </w:tc>
        <w:tc>
          <w:tcPr>
            <w:tcW w:w="4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INFORMAÇÕES FUNCIONAIS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35</w:t>
            </w:r>
          </w:p>
        </w:tc>
      </w:tr>
      <w:tr>
        <w:trPr>
          <w:trHeight w:val="300" w:hRule="atLeast"/>
        </w:trPr>
        <w:tc>
          <w:tcPr>
            <w:tcW w:w="4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INFORMAÇÕES</w:t>
            </w:r>
          </w:p>
        </w:tc>
        <w:tc>
          <w:tcPr>
            <w:tcW w:w="4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PRESTAÇÃO DE CONTAS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eastAsia="Times New Roman" w:cs="Calibri" w:ascii="Calibri" w:hAnsi="Calibri"/>
                <w:color w:val="000000"/>
                <w:kern w:val="0"/>
                <w:lang w:eastAsia="pt-BR"/>
                <w14:ligatures w14:val="none"/>
              </w:rPr>
              <w:t>35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A análise dos assuntos mais demandados nos pedidos de acesso à informação evidencia concentração em temas relacionados, principalmente, à gestão de pessoas, tributos e informações institucionais, revelando padrão de uso da LAI fortemente voltado à obtenção de informações administrativas e de interesse recorrente.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Destaca-se como principal tema demandado quadro de pessoal (179 pedidos), seguido por teste seletivo/concurso público (93) e informações funcionais (35), indicando forte interesse dos usuários em informações relacionadas à estrutura de pessoal, vínculos, provimento de cargos e funcionamento da administração. Esse padrão sugere que temas relacionados à gestão de pessoas figuram entre os principais focos de interesse social no uso do direito de acesso à informação.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Outro núcleo de destaque refere-se aos temas vinculados à política fazendária, com expressiva concentração em IPTU (120), cadastro imobiliário (81) e dívida ativa (69). A recorrência desses pedidos evidencia a centralidade de informações tributárias entre as demandas dos usuários e pode sinalizar tanto a complexidade desses serviços quanto oportunidades de aprimoramento da transparência ativa e da comunicação sobre acessos aos canais de primeira instância e procedimentos fiscais.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Também se destacam demandas relacionadas a bens públicos municipais (56), sistemas (41), prestação de contas (35) e outras informações administrativas, reforçando interesse relevante em temas ligados à gestão pública, patrimônio e transparência institucional.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Observa-se, assim, que os assuntos mais demandados se distribuem em três grandes eixos:</w:t>
      </w:r>
    </w:p>
    <w:p>
      <w:pPr>
        <w:pStyle w:val="ListParagraph"/>
        <w:numPr>
          <w:ilvl w:val="0"/>
          <w:numId w:val="4"/>
        </w:numPr>
        <w:spacing w:lineRule="auto" w:line="360"/>
        <w:jc w:val="both"/>
        <w:rPr/>
      </w:pPr>
      <w:r>
        <w:rPr/>
        <w:t>gestão de pessoas e informações funcionais, com predominância de temas relacionados a quadro de pessoal e concursos;</w:t>
      </w:r>
    </w:p>
    <w:p>
      <w:pPr>
        <w:pStyle w:val="ListParagraph"/>
        <w:numPr>
          <w:ilvl w:val="0"/>
          <w:numId w:val="4"/>
        </w:numPr>
        <w:spacing w:lineRule="auto" w:line="360"/>
        <w:jc w:val="both"/>
        <w:rPr/>
      </w:pPr>
      <w:r>
        <w:rPr/>
        <w:t>administração tributária e cadastros, com forte presença de temas fazendários;</w:t>
      </w:r>
    </w:p>
    <w:p>
      <w:pPr>
        <w:pStyle w:val="ListParagraph"/>
        <w:numPr>
          <w:ilvl w:val="0"/>
          <w:numId w:val="4"/>
        </w:numPr>
        <w:spacing w:lineRule="auto" w:line="360"/>
        <w:jc w:val="both"/>
        <w:rPr/>
      </w:pPr>
      <w:r>
        <w:rPr/>
        <w:t>transparência sobre gestão e patrimônio público, envolvendo prestação de contas, bens públicos e sistemas.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Esse padrão indica que a maior parte dos pedidos não se concentra em informações complexas ou excepcionais, mas em informações recorrentes e potencialmente passíveis de ampliação por meio de transparência ativa. Nesse sentido, a recorrência dos temas pode sinalizar oportunidades de aperfeiçoamento da divulgação espontânea de informações, com potencial para reduzir demandas repetitivas e qualificar o acesso do cidadão.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De forma geral, os dados sugerem que a LAI vem sendo utilizada, em grande medida, como instrumento para suprir necessidades informacionais cotidianas dos usuários, revelando não apenas exercício do direito de acesso, mas também pontos em que a administração pode evoluir na disponibilização proativa de informações.</w:t>
      </w:r>
    </w:p>
    <w:p>
      <w:pPr>
        <w:pStyle w:val="Normal"/>
        <w:spacing w:lineRule="auto" w:line="360" w:before="0" w:after="160"/>
        <w:ind w:firstLine="1134"/>
        <w:contextualSpacing/>
        <w:rPr/>
      </w:pPr>
      <w:r>
        <w:rPr/>
      </w:r>
    </w:p>
    <w:p>
      <w:pPr>
        <w:pStyle w:val="ListParagraph"/>
        <w:numPr>
          <w:ilvl w:val="0"/>
          <w:numId w:val="1"/>
        </w:numPr>
        <w:spacing w:lineRule="auto" w:line="360"/>
        <w:rPr>
          <w:rFonts w:cs="Calibri" w:cstheme="minorHAnsi"/>
          <w:b/>
          <w:bCs/>
        </w:rPr>
      </w:pPr>
      <w:bookmarkStart w:id="4" w:name="_Hlk228437501"/>
      <w:r>
        <w:rPr>
          <w:rFonts w:cs="Calibri" w:cstheme="minorHAnsi"/>
          <w:b/>
          <w:bCs/>
        </w:rPr>
        <w:t xml:space="preserve">Principais dificuldades no atendimento aos Pedidos de Acesso à </w:t>
      </w:r>
      <w:bookmarkEnd w:id="4"/>
      <w:r>
        <w:rPr>
          <w:rFonts w:cs="Calibri" w:cstheme="minorHAnsi"/>
          <w:b/>
          <w:bCs/>
        </w:rPr>
        <w:t>Informação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No exercício da coordenação do Serviço de Informação ao Cidadão e no acompanhamento da implementação da Lei de Acesso à Informação no âmbito municipal, permanecem identificados desafios relacionados tanto à transparência ativa quanto aos fluxos de transparência passiva e ao cumprimento das obrigações legais pelos órgãos e entidades.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Entre os principais pontos observados, destacam-se:</w:t>
      </w:r>
    </w:p>
    <w:p>
      <w:pPr>
        <w:pStyle w:val="Normal"/>
        <w:spacing w:lineRule="auto" w:line="360" w:before="0" w:after="160"/>
        <w:contextualSpacing/>
        <w:jc w:val="both"/>
        <w:rPr/>
      </w:pPr>
      <w:r>
        <w:rPr/>
        <w:t xml:space="preserve">• </w:t>
      </w:r>
      <w:r>
        <w:rPr/>
        <w:t>Necessidade de atualização contínua dos sites oficiais e da Carta de Serviços ao Usuário, de modo a assegurar maior aderência das informações disponibilizadas à realidade dos serviços ofertados;</w:t>
      </w:r>
    </w:p>
    <w:p>
      <w:pPr>
        <w:pStyle w:val="Normal"/>
        <w:spacing w:lineRule="auto" w:line="360" w:before="0" w:after="160"/>
        <w:contextualSpacing/>
        <w:jc w:val="both"/>
        <w:rPr/>
      </w:pPr>
      <w:r>
        <w:rPr/>
        <w:t xml:space="preserve">• </w:t>
      </w:r>
      <w:r>
        <w:rPr/>
        <w:t>Fragmentação e sobreposição de informações em diferentes ambientes digitais, especialmente entre páginas específicas dos órgãos e o portal de Serviços Online, gerando duplicidades, inconsistências e dificuldades de navegação para o usuário;</w:t>
      </w:r>
    </w:p>
    <w:p>
      <w:pPr>
        <w:pStyle w:val="Normal"/>
        <w:spacing w:lineRule="auto" w:line="360" w:before="0" w:after="160"/>
        <w:contextualSpacing/>
        <w:jc w:val="both"/>
        <w:rPr/>
      </w:pPr>
      <w:r>
        <w:rPr/>
        <w:t xml:space="preserve">• </w:t>
      </w:r>
      <w:r>
        <w:rPr/>
        <w:t>Persistência de práticas incompatíveis com os fundamentos da Lei de Acesso à Informação, como a consideração da identidade do solicitante ou da motivação do pedido na análise das respostas, em desacordo com o princípio da impessoalidade e com o art. 10 da Lei nº 12.527/2011;</w:t>
      </w:r>
    </w:p>
    <w:p>
      <w:pPr>
        <w:pStyle w:val="Normal"/>
        <w:spacing w:lineRule="auto" w:line="360" w:before="0" w:after="160"/>
        <w:contextualSpacing/>
        <w:jc w:val="both"/>
        <w:rPr/>
      </w:pPr>
      <w:r>
        <w:rPr/>
        <w:t xml:space="preserve">• </w:t>
      </w:r>
      <w:r>
        <w:rPr/>
        <w:t>Ocorrência de respostas incompletas, pouco claras ou insuficientemente objetivas, bem como negativas de acesso sem a devida fundamentação legal, comprometendo a qualidade das respostas e a adequada observância do direito de acesso à informação;</w:t>
      </w:r>
    </w:p>
    <w:p>
      <w:pPr>
        <w:pStyle w:val="Normal"/>
        <w:spacing w:lineRule="auto" w:line="360" w:before="0" w:after="160"/>
        <w:contextualSpacing/>
        <w:jc w:val="both"/>
        <w:rPr/>
      </w:pPr>
      <w:r>
        <w:rPr/>
        <w:t xml:space="preserve">• </w:t>
      </w:r>
      <w:r>
        <w:rPr/>
        <w:t>Dificuldades no cumprimento dos prazos legais para resposta, especialmente em fluxos que demandam articulação entre múltiplas unidades ou órgãos/entidades;</w:t>
      </w:r>
    </w:p>
    <w:p>
      <w:pPr>
        <w:pStyle w:val="Normal"/>
        <w:spacing w:lineRule="auto" w:line="360" w:before="0" w:after="160"/>
        <w:contextualSpacing/>
        <w:jc w:val="both"/>
        <w:rPr/>
      </w:pPr>
      <w:r>
        <w:rPr/>
        <w:t xml:space="preserve">• </w:t>
      </w:r>
      <w:r>
        <w:rPr/>
        <w:t>Limitações relacionadas à responsabilização em casos de descumprimento da LAI por entidades da administração indireta, especialmente quanto à aplicação de medidas em situações de atraso ou não atendimento das obrigações legais.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Recomendações e considerações finais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Com base nos dados analisados e nos desafios identificados na implementação da Lei de Acesso à Informação no exercício de 2025, recomenda-se aos órgãos e entidades da Administração Direta e Indireta a adoção das seguintes medidas de aprimoramento:</w:t>
      </w:r>
    </w:p>
    <w:p>
      <w:pPr>
        <w:pStyle w:val="ListParagraph"/>
        <w:numPr>
          <w:ilvl w:val="0"/>
          <w:numId w:val="5"/>
        </w:numPr>
        <w:spacing w:lineRule="auto" w:line="360"/>
        <w:jc w:val="both"/>
        <w:rPr/>
      </w:pPr>
      <w:r>
        <w:rPr/>
        <w:t>Fortalecer a transparência ativa, com revisão e atualização periódica dos sítios institucionais, da Carta de Serviços ao Usuário e dos conteúdos mais demandados por meio da LAI, especialmente em temas recorrentes como quadro de pessoal, concursos, informações tributárias, bens públicos e prestação de contas, buscando reduzir pedidos repetitivos e ampliar o acesso direto à informação;</w:t>
      </w:r>
    </w:p>
    <w:p>
      <w:pPr>
        <w:pStyle w:val="ListParagraph"/>
        <w:numPr>
          <w:ilvl w:val="0"/>
          <w:numId w:val="5"/>
        </w:numPr>
        <w:spacing w:lineRule="auto" w:line="360"/>
        <w:jc w:val="both"/>
        <w:rPr/>
      </w:pPr>
      <w:r>
        <w:rPr/>
        <w:t>Promover maior integração e racionalização dos canais informacionais, com revisão de conteúdos duplicados ou dispersos em diferentes ambientes digitais, visando maior padronização, consistência das informações e melhor experiência do usuário na busca por serviços e dados públicos;</w:t>
      </w:r>
    </w:p>
    <w:p>
      <w:pPr>
        <w:pStyle w:val="ListParagraph"/>
        <w:numPr>
          <w:ilvl w:val="0"/>
          <w:numId w:val="5"/>
        </w:numPr>
        <w:spacing w:lineRule="auto" w:line="360"/>
        <w:jc w:val="both"/>
        <w:rPr/>
      </w:pPr>
      <w:r>
        <w:rPr/>
        <w:t>Aprimorar a qualidade das respostas aos pedidos de acesso à informação, com reforço da orientação aos órgãos e entidades quanto à necessidade de respostas claras, objetivas e fundamentadas, observando integralmente os parâmetros da Lei de Acesso à Informação e o princípio da impessoalidade;</w:t>
      </w:r>
    </w:p>
    <w:p>
      <w:pPr>
        <w:pStyle w:val="ListParagraph"/>
        <w:numPr>
          <w:ilvl w:val="0"/>
          <w:numId w:val="5"/>
        </w:numPr>
        <w:spacing w:lineRule="auto" w:line="360"/>
        <w:jc w:val="both"/>
        <w:rPr/>
      </w:pPr>
      <w:r>
        <w:rPr/>
        <w:t>Utilizar a recorrência temática dos pedidos como insumo para gestão, incorporando os dados produzidos pela LAI como instrumento de identificação de lacunas informacionais, aperfeiçoamento da transparência ativa e qualificação dos processos internos;</w:t>
      </w:r>
    </w:p>
    <w:p>
      <w:pPr>
        <w:pStyle w:val="ListParagraph"/>
        <w:numPr>
          <w:ilvl w:val="0"/>
          <w:numId w:val="5"/>
        </w:numPr>
        <w:spacing w:lineRule="auto" w:line="360"/>
        <w:jc w:val="both"/>
        <w:rPr/>
      </w:pPr>
      <w:r>
        <w:rPr/>
        <w:t>Aprimorar mecanismos de monitoramento e responsabilização pelo cumprimento da LAI, especialmente em relação a atrasos, respostas insuficientes e fluxos envolvendo entidades da administração indireta, com vistas ao fortalecimento da governança do acesso à informação;</w:t>
      </w:r>
    </w:p>
    <w:p>
      <w:pPr>
        <w:pStyle w:val="ListParagraph"/>
        <w:numPr>
          <w:ilvl w:val="0"/>
          <w:numId w:val="5"/>
        </w:numPr>
        <w:spacing w:lineRule="auto" w:line="360"/>
        <w:jc w:val="both"/>
        <w:rPr/>
      </w:pPr>
      <w:r>
        <w:rPr/>
        <w:t>Prosseguir no fortalecimento institucional da política municipal de acesso à informação, com revisão contínua de normativos, fluxos e instrumentos de apoio, bem como com a articulação entre Ouvidoria-Geral, Controladoria-Geral e demais órgãos, visando maior maturidade do sistema de transparência e controle.</w:t>
      </w:r>
    </w:p>
    <w:p>
      <w:pPr>
        <w:pStyle w:val="Normal"/>
        <w:spacing w:lineRule="auto" w:line="360" w:before="0" w:after="160"/>
        <w:ind w:firstLine="1134"/>
        <w:contextualSpacing/>
        <w:jc w:val="both"/>
        <w:rPr/>
      </w:pPr>
      <w:r>
        <w:rPr/>
        <w:t>De forma geral, os achados do relatório indicam que, embora o desempenho da política de acesso à informação seja satisfatório, permanecem oportunidades de aperfeiçoamento voltadas sobretudo à ampliação da transparência ativa, à qualificação das respostas e ao fortalecimento dos mecanismos de governança e monitoramento da LAI no âmbito municipal.</w:t>
      </w:r>
    </w:p>
    <w:p>
      <w:pPr>
        <w:pStyle w:val="Normal"/>
        <w:spacing w:lineRule="auto" w:line="360" w:before="0" w:after="160"/>
        <w:contextualSpacing/>
        <w:jc w:val="both"/>
        <w:rPr/>
      </w:pPr>
      <w:r>
        <w:rPr/>
      </w:r>
    </w:p>
    <w:sectPr>
      <w:headerReference w:type="even" r:id="rId8"/>
      <w:headerReference w:type="default" r:id="rId9"/>
      <w:headerReference w:type="first" r:id="rId10"/>
      <w:footerReference w:type="even" r:id="rId11"/>
      <w:footerReference w:type="default" r:id="rId12"/>
      <w:footerReference w:type="first" r:id="rId13"/>
      <w:type w:val="nextPage"/>
      <w:pgSz w:w="11906" w:h="16838"/>
      <w:pgMar w:left="1134" w:right="1134" w:gutter="0" w:header="709" w:top="2268" w:footer="709" w:bottom="1134"/>
      <w:pgNumType w:fmt="decimal"/>
      <w:formProt w:val="false"/>
      <w:titlePg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alibri Light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Calibri">
    <w:charset w:val="00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-2029475346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14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anchor behindDoc="1" distT="0" distB="0" distL="114935" distR="114935" simplePos="0" locked="0" layoutInCell="0" allowOverlap="1" relativeHeight="14">
          <wp:simplePos x="0" y="0"/>
          <wp:positionH relativeFrom="margin">
            <wp:align>center</wp:align>
          </wp:positionH>
          <wp:positionV relativeFrom="paragraph">
            <wp:posOffset>-175260</wp:posOffset>
          </wp:positionV>
          <wp:extent cx="5603875" cy="780415"/>
          <wp:effectExtent l="0" t="0" r="0" b="0"/>
          <wp:wrapTopAndBottom/>
          <wp:docPr id="5" name="Imagem 1679807976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m 1679807976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03875" cy="7804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isLgl/>
      <w:numFmt w:val="decimal"/>
      <w:lvlText w:val="%1.%2"/>
      <w:lvlJc w:val="left"/>
      <w:pPr>
        <w:tabs>
          <w:tab w:val="num" w:pos="0"/>
        </w:tabs>
        <w:ind w:left="720" w:hanging="360"/>
      </w:pPr>
      <w:rPr/>
    </w:lvl>
    <w:lvl w:ilvl="2">
      <w:start w:val="1"/>
      <w:isLgl/>
      <w:numFmt w:val="decimal"/>
      <w:lvlText w:val="%1.%2.%3"/>
      <w:lvlJc w:val="left"/>
      <w:pPr>
        <w:tabs>
          <w:tab w:val="num" w:pos="0"/>
        </w:tabs>
        <w:ind w:left="1080" w:hanging="720"/>
      </w:pPr>
      <w:rPr/>
    </w:lvl>
    <w:lvl w:ilvl="3">
      <w:start w:val="1"/>
      <w:isLgl/>
      <w:numFmt w:val="decimal"/>
      <w:lvlText w:val="%1.%2.%3.%4"/>
      <w:lvlJc w:val="left"/>
      <w:pPr>
        <w:tabs>
          <w:tab w:val="num" w:pos="0"/>
        </w:tabs>
        <w:ind w:left="1080" w:hanging="720"/>
      </w:pPr>
      <w:rPr/>
    </w:lvl>
    <w:lvl w:ilvl="4">
      <w:start w:val="1"/>
      <w:isLgl/>
      <w:numFmt w:val="decimal"/>
      <w:lvlText w:val="%1.%2.%3.%4.%5"/>
      <w:lvlJc w:val="left"/>
      <w:pPr>
        <w:tabs>
          <w:tab w:val="num" w:pos="0"/>
        </w:tabs>
        <w:ind w:left="1440" w:hanging="1080"/>
      </w:pPr>
      <w:rPr/>
    </w:lvl>
    <w:lvl w:ilvl="5">
      <w:start w:val="1"/>
      <w:isLgl/>
      <w:numFmt w:val="decimal"/>
      <w:lvlText w:val="%1.%2.%3.%4.%5.%6"/>
      <w:lvlJc w:val="left"/>
      <w:pPr>
        <w:tabs>
          <w:tab w:val="num" w:pos="0"/>
        </w:tabs>
        <w:ind w:left="1440" w:hanging="1080"/>
      </w:pPr>
      <w:rPr/>
    </w:lvl>
    <w:lvl w:ilvl="6">
      <w:start w:val="1"/>
      <w:isLgl/>
      <w:numFmt w:val="decimal"/>
      <w:lvlText w:val="%1.%2.%3.%4.%5.%6.%7"/>
      <w:lvlJc w:val="left"/>
      <w:pPr>
        <w:tabs>
          <w:tab w:val="num" w:pos="0"/>
        </w:tabs>
        <w:ind w:left="1800" w:hanging="1440"/>
      </w:pPr>
      <w:rPr/>
    </w:lvl>
    <w:lvl w:ilvl="7">
      <w:start w:val="1"/>
      <w:isLgl/>
      <w:numFmt w:val="decimal"/>
      <w:lvlText w:val="%1.%2.%3.%4.%5.%6.%7.%8"/>
      <w:lvlJc w:val="left"/>
      <w:pPr>
        <w:tabs>
          <w:tab w:val="num" w:pos="0"/>
        </w:tabs>
        <w:ind w:left="1800" w:hanging="1440"/>
      </w:pPr>
      <w:rPr/>
    </w:lvl>
    <w:lvl w:ilvl="8">
      <w:start w:val="1"/>
      <w:isLgl/>
      <w:numFmt w:val="decimal"/>
      <w:lvlText w:val="%1.%2.%3.%4.%5.%6.%7.%8.%9"/>
      <w:lvlJc w:val="left"/>
      <w:pPr>
        <w:tabs>
          <w:tab w:val="num" w:pos="0"/>
        </w:tabs>
        <w:ind w:left="2160" w:hanging="180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1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d22737"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2"/>
      <w:sz w:val="22"/>
      <w:szCs w:val="22"/>
      <w:lang w:val="pt-BR" w:eastAsia="en-US" w:bidi="ar-SA"/>
      <w14:ligatures w14:val="standardContextual"/>
    </w:rPr>
  </w:style>
  <w:style w:type="paragraph" w:styleId="Heading1">
    <w:name w:val="heading 1"/>
    <w:basedOn w:val="Normal"/>
    <w:next w:val="Normal"/>
    <w:link w:val="Ttulo1Char"/>
    <w:uiPriority w:val="9"/>
    <w:qFormat/>
    <w:rsid w:val="00bf1564"/>
    <w:pPr>
      <w:keepNext w:val="true"/>
      <w:keepLines/>
      <w:spacing w:before="360" w:after="80"/>
      <w:outlineLvl w:val="0"/>
    </w:pPr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40"/>
      <w:szCs w:val="40"/>
    </w:rPr>
  </w:style>
  <w:style w:type="paragraph" w:styleId="Heading2">
    <w:name w:val="heading 2"/>
    <w:basedOn w:val="Normal"/>
    <w:next w:val="Normal"/>
    <w:link w:val="Ttulo2Char"/>
    <w:uiPriority w:val="9"/>
    <w:semiHidden/>
    <w:unhideWhenUsed/>
    <w:qFormat/>
    <w:rsid w:val="00bf1564"/>
    <w:pPr>
      <w:keepNext w:val="true"/>
      <w:keepLines/>
      <w:spacing w:before="160" w:after="80"/>
      <w:outlineLvl w:val="1"/>
    </w:pPr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32"/>
      <w:szCs w:val="32"/>
    </w:rPr>
  </w:style>
  <w:style w:type="paragraph" w:styleId="Heading3">
    <w:name w:val="heading 3"/>
    <w:basedOn w:val="Normal"/>
    <w:next w:val="Normal"/>
    <w:link w:val="Ttulo3Char"/>
    <w:uiPriority w:val="9"/>
    <w:semiHidden/>
    <w:unhideWhenUsed/>
    <w:qFormat/>
    <w:rsid w:val="00bf1564"/>
    <w:pPr>
      <w:keepNext w:val="true"/>
      <w:keepLines/>
      <w:spacing w:before="160" w:after="80"/>
      <w:outlineLvl w:val="2"/>
    </w:pPr>
    <w:rPr>
      <w:rFonts w:eastAsia="" w:cs="" w:cstheme="majorBidi" w:eastAsiaTheme="majorEastAsia"/>
      <w:color w:themeColor="accent1" w:themeShade="bf" w:val="2F5496"/>
      <w:sz w:val="28"/>
      <w:szCs w:val="28"/>
    </w:rPr>
  </w:style>
  <w:style w:type="paragraph" w:styleId="Heading4">
    <w:name w:val="heading 4"/>
    <w:basedOn w:val="Normal"/>
    <w:next w:val="Normal"/>
    <w:link w:val="Ttulo4Char"/>
    <w:uiPriority w:val="9"/>
    <w:semiHidden/>
    <w:unhideWhenUsed/>
    <w:qFormat/>
    <w:rsid w:val="00bf1564"/>
    <w:pPr>
      <w:keepNext w:val="true"/>
      <w:keepLines/>
      <w:spacing w:before="80" w:after="40"/>
      <w:outlineLvl w:val="3"/>
    </w:pPr>
    <w:rPr>
      <w:rFonts w:eastAsia="" w:cs="" w:cstheme="majorBidi" w:eastAsiaTheme="majorEastAsia"/>
      <w:i/>
      <w:iCs/>
      <w:color w:themeColor="accent1" w:themeShade="bf" w:val="2F5496"/>
    </w:rPr>
  </w:style>
  <w:style w:type="paragraph" w:styleId="Heading5">
    <w:name w:val="heading 5"/>
    <w:basedOn w:val="Normal"/>
    <w:next w:val="Normal"/>
    <w:link w:val="Ttulo5Char"/>
    <w:uiPriority w:val="9"/>
    <w:semiHidden/>
    <w:unhideWhenUsed/>
    <w:qFormat/>
    <w:rsid w:val="00bf1564"/>
    <w:pPr>
      <w:keepNext w:val="true"/>
      <w:keepLines/>
      <w:spacing w:before="80" w:after="40"/>
      <w:outlineLvl w:val="4"/>
    </w:pPr>
    <w:rPr>
      <w:rFonts w:eastAsia="" w:cs="" w:cstheme="majorBidi" w:eastAsiaTheme="majorEastAsia"/>
      <w:color w:themeColor="accent1" w:themeShade="bf" w:val="2F5496"/>
    </w:rPr>
  </w:style>
  <w:style w:type="paragraph" w:styleId="Heading6">
    <w:name w:val="heading 6"/>
    <w:basedOn w:val="Normal"/>
    <w:next w:val="Normal"/>
    <w:link w:val="Ttulo6Char"/>
    <w:uiPriority w:val="9"/>
    <w:semiHidden/>
    <w:unhideWhenUsed/>
    <w:qFormat/>
    <w:rsid w:val="00bf1564"/>
    <w:pPr>
      <w:keepNext w:val="true"/>
      <w:keepLines/>
      <w:spacing w:before="40" w:after="0"/>
      <w:outlineLvl w:val="5"/>
    </w:pPr>
    <w:rPr>
      <w:rFonts w:eastAsia="" w:cs="" w:cstheme="majorBidi" w:eastAsiaTheme="majorEastAsia"/>
      <w:i/>
      <w:iCs/>
      <w:color w:themeColor="text1" w:themeTint="a6" w:val="595959"/>
    </w:rPr>
  </w:style>
  <w:style w:type="paragraph" w:styleId="Heading7">
    <w:name w:val="heading 7"/>
    <w:basedOn w:val="Normal"/>
    <w:next w:val="Normal"/>
    <w:link w:val="Ttulo7Char"/>
    <w:uiPriority w:val="9"/>
    <w:semiHidden/>
    <w:unhideWhenUsed/>
    <w:qFormat/>
    <w:rsid w:val="00bf1564"/>
    <w:pPr>
      <w:keepNext w:val="true"/>
      <w:keepLines/>
      <w:spacing w:before="40" w:after="0"/>
      <w:outlineLvl w:val="6"/>
    </w:pPr>
    <w:rPr>
      <w:rFonts w:eastAsia="" w:cs="" w:cstheme="majorBidi" w:eastAsiaTheme="majorEastAsia"/>
      <w:color w:themeColor="text1" w:themeTint="a6" w:val="595959"/>
    </w:rPr>
  </w:style>
  <w:style w:type="paragraph" w:styleId="Heading8">
    <w:name w:val="heading 8"/>
    <w:basedOn w:val="Normal"/>
    <w:next w:val="Normal"/>
    <w:link w:val="Ttulo8Char"/>
    <w:uiPriority w:val="9"/>
    <w:semiHidden/>
    <w:unhideWhenUsed/>
    <w:qFormat/>
    <w:rsid w:val="00bf1564"/>
    <w:pPr>
      <w:keepNext w:val="true"/>
      <w:keepLines/>
      <w:spacing w:before="0" w:after="0"/>
      <w:outlineLvl w:val="7"/>
    </w:pPr>
    <w:rPr>
      <w:rFonts w:eastAsia="" w:cs="" w:cstheme="majorBidi" w:eastAsiaTheme="majorEastAsia"/>
      <w:i/>
      <w:iCs/>
      <w:color w:themeColor="text1" w:themeTint="d8" w:val="272727"/>
    </w:rPr>
  </w:style>
  <w:style w:type="paragraph" w:styleId="Heading9">
    <w:name w:val="heading 9"/>
    <w:basedOn w:val="Normal"/>
    <w:next w:val="Normal"/>
    <w:link w:val="Ttulo9Char"/>
    <w:uiPriority w:val="9"/>
    <w:semiHidden/>
    <w:unhideWhenUsed/>
    <w:qFormat/>
    <w:rsid w:val="00bf1564"/>
    <w:pPr>
      <w:keepNext w:val="true"/>
      <w:keepLines/>
      <w:spacing w:before="0" w:after="0"/>
      <w:outlineLvl w:val="8"/>
    </w:pPr>
    <w:rPr>
      <w:rFonts w:eastAsia="" w:cs="" w:cstheme="majorBidi" w:eastAsiaTheme="majorEastAsia"/>
      <w:color w:themeColor="text1" w:themeTint="d8" w:val="272727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tulo1Char" w:customStyle="1">
    <w:name w:val="Título 1 Char"/>
    <w:basedOn w:val="DefaultParagraphFont"/>
    <w:uiPriority w:val="9"/>
    <w:qFormat/>
    <w:rsid w:val="00bf1564"/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40"/>
      <w:szCs w:val="40"/>
    </w:rPr>
  </w:style>
  <w:style w:type="character" w:styleId="Ttulo2Char" w:customStyle="1">
    <w:name w:val="Título 2 Char"/>
    <w:basedOn w:val="DefaultParagraphFont"/>
    <w:uiPriority w:val="9"/>
    <w:semiHidden/>
    <w:qFormat/>
    <w:rsid w:val="00bf1564"/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32"/>
      <w:szCs w:val="32"/>
    </w:rPr>
  </w:style>
  <w:style w:type="character" w:styleId="Ttulo3Char" w:customStyle="1">
    <w:name w:val="Título 3 Char"/>
    <w:basedOn w:val="DefaultParagraphFont"/>
    <w:uiPriority w:val="9"/>
    <w:semiHidden/>
    <w:qFormat/>
    <w:rsid w:val="00bf1564"/>
    <w:rPr>
      <w:rFonts w:eastAsia="" w:cs="" w:cstheme="majorBidi" w:eastAsiaTheme="majorEastAsia"/>
      <w:color w:themeColor="accent1" w:themeShade="bf" w:val="2F5496"/>
      <w:sz w:val="28"/>
      <w:szCs w:val="28"/>
    </w:rPr>
  </w:style>
  <w:style w:type="character" w:styleId="Ttulo4Char" w:customStyle="1">
    <w:name w:val="Título 4 Char"/>
    <w:basedOn w:val="DefaultParagraphFont"/>
    <w:uiPriority w:val="9"/>
    <w:semiHidden/>
    <w:qFormat/>
    <w:rsid w:val="00bf1564"/>
    <w:rPr>
      <w:rFonts w:eastAsia="" w:cs="" w:cstheme="majorBidi" w:eastAsiaTheme="majorEastAsia"/>
      <w:i/>
      <w:iCs/>
      <w:color w:themeColor="accent1" w:themeShade="bf" w:val="2F5496"/>
    </w:rPr>
  </w:style>
  <w:style w:type="character" w:styleId="Ttulo5Char" w:customStyle="1">
    <w:name w:val="Título 5 Char"/>
    <w:basedOn w:val="DefaultParagraphFont"/>
    <w:uiPriority w:val="9"/>
    <w:semiHidden/>
    <w:qFormat/>
    <w:rsid w:val="00bf1564"/>
    <w:rPr>
      <w:rFonts w:eastAsia="" w:cs="" w:cstheme="majorBidi" w:eastAsiaTheme="majorEastAsia"/>
      <w:color w:themeColor="accent1" w:themeShade="bf" w:val="2F5496"/>
    </w:rPr>
  </w:style>
  <w:style w:type="character" w:styleId="Ttulo6Char" w:customStyle="1">
    <w:name w:val="Título 6 Char"/>
    <w:basedOn w:val="DefaultParagraphFont"/>
    <w:uiPriority w:val="9"/>
    <w:semiHidden/>
    <w:qFormat/>
    <w:rsid w:val="00bf1564"/>
    <w:rPr>
      <w:rFonts w:eastAsia="" w:cs="" w:cstheme="majorBidi" w:eastAsiaTheme="majorEastAsia"/>
      <w:i/>
      <w:iCs/>
      <w:color w:themeColor="text1" w:themeTint="a6" w:val="595959"/>
    </w:rPr>
  </w:style>
  <w:style w:type="character" w:styleId="Ttulo7Char" w:customStyle="1">
    <w:name w:val="Título 7 Char"/>
    <w:basedOn w:val="DefaultParagraphFont"/>
    <w:uiPriority w:val="9"/>
    <w:semiHidden/>
    <w:qFormat/>
    <w:rsid w:val="00bf1564"/>
    <w:rPr>
      <w:rFonts w:eastAsia="" w:cs="" w:cstheme="majorBidi" w:eastAsiaTheme="majorEastAsia"/>
      <w:color w:themeColor="text1" w:themeTint="a6" w:val="595959"/>
    </w:rPr>
  </w:style>
  <w:style w:type="character" w:styleId="Ttulo8Char" w:customStyle="1">
    <w:name w:val="Título 8 Char"/>
    <w:basedOn w:val="DefaultParagraphFont"/>
    <w:uiPriority w:val="9"/>
    <w:semiHidden/>
    <w:qFormat/>
    <w:rsid w:val="00bf1564"/>
    <w:rPr>
      <w:rFonts w:eastAsia="" w:cs="" w:cstheme="majorBidi" w:eastAsiaTheme="majorEastAsia"/>
      <w:i/>
      <w:iCs/>
      <w:color w:themeColor="text1" w:themeTint="d8" w:val="272727"/>
    </w:rPr>
  </w:style>
  <w:style w:type="character" w:styleId="Ttulo9Char" w:customStyle="1">
    <w:name w:val="Título 9 Char"/>
    <w:basedOn w:val="DefaultParagraphFont"/>
    <w:uiPriority w:val="9"/>
    <w:semiHidden/>
    <w:qFormat/>
    <w:rsid w:val="00bf1564"/>
    <w:rPr>
      <w:rFonts w:eastAsia="" w:cs="" w:cstheme="majorBidi" w:eastAsiaTheme="majorEastAsia"/>
      <w:color w:themeColor="text1" w:themeTint="d8" w:val="272727"/>
    </w:rPr>
  </w:style>
  <w:style w:type="character" w:styleId="TtuloChar" w:customStyle="1">
    <w:name w:val="Título Char"/>
    <w:basedOn w:val="DefaultParagraphFont"/>
    <w:uiPriority w:val="10"/>
    <w:qFormat/>
    <w:rsid w:val="00bf1564"/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SubttuloChar" w:customStyle="1">
    <w:name w:val="Subtítulo Char"/>
    <w:basedOn w:val="DefaultParagraphFont"/>
    <w:uiPriority w:val="11"/>
    <w:qFormat/>
    <w:rsid w:val="00bf1564"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character" w:styleId="CitaoChar" w:customStyle="1">
    <w:name w:val="Citação Char"/>
    <w:basedOn w:val="DefaultParagraphFont"/>
    <w:link w:val="Quote"/>
    <w:uiPriority w:val="29"/>
    <w:qFormat/>
    <w:rsid w:val="00bf1564"/>
    <w:rPr>
      <w:i/>
      <w:iCs/>
      <w:color w:themeColor="text1" w:themeTint="bf" w:val="404040"/>
    </w:rPr>
  </w:style>
  <w:style w:type="character" w:styleId="IntenseEmphasis">
    <w:name w:val="Intense Emphasis"/>
    <w:basedOn w:val="DefaultParagraphFont"/>
    <w:uiPriority w:val="21"/>
    <w:qFormat/>
    <w:rsid w:val="00bf1564"/>
    <w:rPr>
      <w:i/>
      <w:iCs/>
      <w:color w:themeColor="accent1" w:themeShade="bf" w:val="2F5496"/>
    </w:rPr>
  </w:style>
  <w:style w:type="character" w:styleId="CitaoIntensaChar" w:customStyle="1">
    <w:name w:val="Citação Intensa Char"/>
    <w:basedOn w:val="DefaultParagraphFont"/>
    <w:link w:val="IntenseQuote"/>
    <w:uiPriority w:val="30"/>
    <w:qFormat/>
    <w:rsid w:val="00bf1564"/>
    <w:rPr>
      <w:i/>
      <w:iCs/>
      <w:color w:themeColor="accent1" w:themeShade="bf" w:val="2F5496"/>
    </w:rPr>
  </w:style>
  <w:style w:type="character" w:styleId="IntenseReference">
    <w:name w:val="Intense Reference"/>
    <w:basedOn w:val="DefaultParagraphFont"/>
    <w:uiPriority w:val="32"/>
    <w:qFormat/>
    <w:rsid w:val="00bf1564"/>
    <w:rPr>
      <w:b/>
      <w:bCs/>
      <w:smallCaps/>
      <w:color w:themeColor="accent1" w:themeShade="bf" w:val="2F5496"/>
      <w:spacing w:val="5"/>
    </w:rPr>
  </w:style>
  <w:style w:type="character" w:styleId="CabealhoChar" w:customStyle="1">
    <w:name w:val="Cabeçalho Char"/>
    <w:basedOn w:val="DefaultParagraphFont"/>
    <w:uiPriority w:val="99"/>
    <w:qFormat/>
    <w:rsid w:val="003b6d42"/>
    <w:rPr/>
  </w:style>
  <w:style w:type="character" w:styleId="RodapChar" w:customStyle="1">
    <w:name w:val="Rodapé Char"/>
    <w:basedOn w:val="DefaultParagraphFont"/>
    <w:uiPriority w:val="99"/>
    <w:qFormat/>
    <w:rsid w:val="003b6d42"/>
    <w:rPr/>
  </w:style>
  <w:style w:type="character" w:styleId="Hyperlink">
    <w:name w:val="Hyperlink"/>
    <w:basedOn w:val="DefaultParagraphFont"/>
    <w:uiPriority w:val="99"/>
    <w:unhideWhenUsed/>
    <w:rsid w:val="008416d9"/>
    <w:rPr>
      <w:color w:themeColor="hyperlink"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7e136a"/>
    <w:rPr>
      <w:color w:val="605E5C"/>
      <w:shd w:fill="E1DFDD" w:val="clear"/>
    </w:rPr>
  </w:style>
  <w:style w:type="character" w:styleId="Partesuperior-zdoformulrioChar" w:customStyle="1">
    <w:name w:val="Parte superior-z do formulário Char"/>
    <w:basedOn w:val="DefaultParagraphFont"/>
    <w:link w:val="HTMLTopofForm"/>
    <w:uiPriority w:val="99"/>
    <w:semiHidden/>
    <w:qFormat/>
    <w:rsid w:val="00e16fe8"/>
    <w:rPr>
      <w:rFonts w:ascii="Arial" w:hAnsi="Arial" w:eastAsia="Times New Roman" w:cs="Arial"/>
      <w:vanish/>
      <w:kern w:val="0"/>
      <w:sz w:val="16"/>
      <w:szCs w:val="16"/>
      <w:lang w:eastAsia="pt-BR"/>
      <w14:ligatures w14:val="none"/>
    </w:rPr>
  </w:style>
  <w:style w:type="character" w:styleId="ParteinferiordoformulrioChar" w:customStyle="1">
    <w:name w:val="Parte inferior do formulário Char"/>
    <w:basedOn w:val="DefaultParagraphFont"/>
    <w:link w:val="HTMLBottomofForm"/>
    <w:uiPriority w:val="99"/>
    <w:semiHidden/>
    <w:qFormat/>
    <w:rsid w:val="00e16fe8"/>
    <w:rPr>
      <w:rFonts w:ascii="Arial" w:hAnsi="Arial" w:eastAsia="Times New Roman" w:cs="Arial"/>
      <w:vanish/>
      <w:kern w:val="0"/>
      <w:sz w:val="16"/>
      <w:szCs w:val="16"/>
      <w:lang w:eastAsia="pt-BR"/>
      <w14:ligatures w14:val="none"/>
    </w:rPr>
  </w:style>
  <w:style w:type="character" w:styleId="Strong">
    <w:name w:val="Strong"/>
    <w:basedOn w:val="DefaultParagraphFont"/>
    <w:uiPriority w:val="22"/>
    <w:qFormat/>
    <w:rsid w:val="005f5f10"/>
    <w:rPr>
      <w:b/>
      <w:bCs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Title">
    <w:name w:val="Title"/>
    <w:basedOn w:val="Normal"/>
    <w:next w:val="Normal"/>
    <w:link w:val="TtuloChar"/>
    <w:uiPriority w:val="10"/>
    <w:qFormat/>
    <w:rsid w:val="00bf1564"/>
    <w:pPr>
      <w:spacing w:lineRule="auto" w:line="240" w:before="0" w:after="80"/>
      <w:contextualSpacing/>
    </w:pPr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Subtitle">
    <w:name w:val="Subtitle"/>
    <w:basedOn w:val="Normal"/>
    <w:next w:val="Normal"/>
    <w:link w:val="SubttuloChar"/>
    <w:uiPriority w:val="11"/>
    <w:qFormat/>
    <w:rsid w:val="00bf1564"/>
    <w:pPr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paragraph" w:styleId="Quote">
    <w:name w:val="Quote"/>
    <w:basedOn w:val="Normal"/>
    <w:next w:val="Normal"/>
    <w:link w:val="CitaoChar"/>
    <w:uiPriority w:val="29"/>
    <w:qFormat/>
    <w:rsid w:val="00bf1564"/>
    <w:pPr>
      <w:spacing w:before="160" w:after="160"/>
      <w:jc w:val="center"/>
    </w:pPr>
    <w:rPr>
      <w:i/>
      <w:iCs/>
      <w:color w:themeColor="text1" w:themeTint="bf" w:val="404040"/>
    </w:rPr>
  </w:style>
  <w:style w:type="paragraph" w:styleId="ListParagraph">
    <w:name w:val="List Paragraph"/>
    <w:basedOn w:val="Normal"/>
    <w:uiPriority w:val="34"/>
    <w:qFormat/>
    <w:rsid w:val="00bf1564"/>
    <w:pPr>
      <w:spacing w:before="0" w:after="160"/>
      <w:ind w:left="720"/>
      <w:contextualSpacing/>
    </w:pPr>
    <w:rPr/>
  </w:style>
  <w:style w:type="paragraph" w:styleId="IntenseQuote">
    <w:name w:val="Intense Quote"/>
    <w:basedOn w:val="Normal"/>
    <w:next w:val="Normal"/>
    <w:link w:val="CitaoIntensaChar"/>
    <w:uiPriority w:val="30"/>
    <w:qFormat/>
    <w:rsid w:val="00bf156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themeColor="accent1" w:themeShade="bf" w:val="2F5496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Normal"/>
    <w:link w:val="CabealhoChar"/>
    <w:uiPriority w:val="99"/>
    <w:unhideWhenUsed/>
    <w:rsid w:val="003b6d42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RodapChar"/>
    <w:uiPriority w:val="99"/>
    <w:unhideWhenUsed/>
    <w:rsid w:val="003b6d42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NormalWeb">
    <w:name w:val="Normal (Web)"/>
    <w:basedOn w:val="Normal"/>
    <w:uiPriority w:val="99"/>
    <w:unhideWhenUsed/>
    <w:qFormat/>
    <w:rsid w:val="00e16fe8"/>
    <w:pPr>
      <w:spacing w:lineRule="auto" w:line="240" w:beforeAutospacing="1" w:afterAutospacing="1"/>
    </w:pPr>
    <w:rPr>
      <w:rFonts w:ascii="Times New Roman" w:hAnsi="Times New Roman" w:eastAsia="Times New Roman" w:cs="Times New Roman"/>
      <w:kern w:val="0"/>
      <w:sz w:val="24"/>
      <w:szCs w:val="24"/>
      <w:lang w:eastAsia="pt-BR"/>
      <w14:ligatures w14:val="none"/>
    </w:rPr>
  </w:style>
  <w:style w:type="paragraph" w:styleId="HTMLTopofForm">
    <w:name w:val="HTML Top of Form"/>
    <w:basedOn w:val="Normal"/>
    <w:next w:val="Normal"/>
    <w:link w:val="Partesuperior-zdoformulrioChar"/>
    <w:uiPriority w:val="99"/>
    <w:semiHidden/>
    <w:unhideWhenUsed/>
    <w:qFormat/>
    <w:rsid w:val="00e16fe8"/>
    <w:pPr>
      <w:pBdr>
        <w:bottom w:val="single" w:sz="6" w:space="1" w:color="000000"/>
      </w:pBdr>
      <w:spacing w:lineRule="auto" w:line="240" w:before="0" w:after="0"/>
      <w:jc w:val="center"/>
    </w:pPr>
    <w:rPr>
      <w:rFonts w:ascii="Arial" w:hAnsi="Arial" w:eastAsia="Times New Roman" w:cs="Arial"/>
      <w:vanish/>
      <w:kern w:val="0"/>
      <w:sz w:val="16"/>
      <w:szCs w:val="16"/>
      <w:lang w:eastAsia="pt-BR"/>
      <w14:ligatures w14:val="none"/>
    </w:rPr>
  </w:style>
  <w:style w:type="paragraph" w:styleId="placeholder" w:customStyle="1">
    <w:name w:val="placeholder"/>
    <w:basedOn w:val="Normal"/>
    <w:qFormat/>
    <w:rsid w:val="00e16fe8"/>
    <w:pPr>
      <w:spacing w:lineRule="auto" w:line="240" w:beforeAutospacing="1" w:afterAutospacing="1"/>
    </w:pPr>
    <w:rPr>
      <w:rFonts w:ascii="Times New Roman" w:hAnsi="Times New Roman" w:eastAsia="Times New Roman" w:cs="Times New Roman"/>
      <w:kern w:val="0"/>
      <w:sz w:val="24"/>
      <w:szCs w:val="24"/>
      <w:lang w:eastAsia="pt-BR"/>
      <w14:ligatures w14:val="none"/>
    </w:rPr>
  </w:style>
  <w:style w:type="paragraph" w:styleId="HTMLBottomofForm">
    <w:name w:val="HTML Bottom of Form"/>
    <w:basedOn w:val="Normal"/>
    <w:next w:val="Normal"/>
    <w:link w:val="ParteinferiordoformulrioChar"/>
    <w:uiPriority w:val="99"/>
    <w:semiHidden/>
    <w:unhideWhenUsed/>
    <w:qFormat/>
    <w:rsid w:val="00e16fe8"/>
    <w:pPr>
      <w:pBdr>
        <w:top w:val="single" w:sz="6" w:space="1" w:color="000000"/>
      </w:pBdr>
      <w:spacing w:lineRule="auto" w:line="240" w:before="0" w:after="0"/>
      <w:jc w:val="center"/>
    </w:pPr>
    <w:rPr>
      <w:rFonts w:ascii="Arial" w:hAnsi="Arial" w:eastAsia="Times New Roman" w:cs="Arial"/>
      <w:vanish/>
      <w:kern w:val="0"/>
      <w:sz w:val="16"/>
      <w:szCs w:val="16"/>
      <w:lang w:eastAsia="pt-BR"/>
      <w14:ligatures w14:val="none"/>
    </w:rPr>
  </w:style>
  <w:style w:type="paragraph" w:styleId="IndexHeading">
    <w:name w:val="index heading"/>
    <w:basedOn w:val="Ttulo"/>
    <w:pPr/>
    <w:rPr/>
  </w:style>
  <w:style w:type="paragraph" w:styleId="TOCHeading">
    <w:name w:val="TOC Heading"/>
    <w:basedOn w:val="Heading1"/>
    <w:next w:val="Normal"/>
    <w:uiPriority w:val="39"/>
    <w:unhideWhenUsed/>
    <w:qFormat/>
    <w:rsid w:val="009a2223"/>
    <w:pPr>
      <w:spacing w:before="240" w:after="0"/>
      <w:outlineLvl w:val="9"/>
    </w:pPr>
    <w:rPr>
      <w:kern w:val="0"/>
      <w:sz w:val="32"/>
      <w:szCs w:val="32"/>
      <w:lang w:eastAsia="pt-BR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9a2223"/>
    <w:pPr>
      <w:spacing w:before="0" w:after="100"/>
    </w:pPr>
    <w:rPr>
      <w:rFonts w:eastAsia="" w:cs="Times New Roman" w:eastAsiaTheme="minorEastAsia"/>
      <w:b/>
      <w:bCs/>
      <w:kern w:val="0"/>
      <w:lang w:eastAsia="pt-BR"/>
      <w14:ligatures w14:val="none"/>
    </w:rPr>
  </w:style>
  <w:style w:type="numbering" w:styleId="Semlista" w:default="1">
    <w:name w:val="Sem lista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ade">
    <w:name w:val="Table Grid"/>
    <w:basedOn w:val="Tabelanormal"/>
    <w:uiPriority w:val="39"/>
    <w:rsid w:val="00254baa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s://ouvidoria.londrina.pr.gov.br/index.php/dados-estatisticos/70-transparencia/315-dados-estatisticos-ogm-2025.html" TargetMode="External"/><Relationship Id="rId4" Type="http://schemas.openxmlformats.org/officeDocument/2006/relationships/hyperlink" Target="https://ouvidoria.londrina.pr.gov.br/index.php/lai-relatorios/relatorios-2025.html" TargetMode="External"/><Relationship Id="rId5" Type="http://schemas.openxmlformats.org/officeDocument/2006/relationships/chart" Target="charts/chart1.xml"/><Relationship Id="rId6" Type="http://schemas.openxmlformats.org/officeDocument/2006/relationships/chart" Target="charts/chart2.xml"/><Relationship Id="rId7" Type="http://schemas.openxmlformats.org/officeDocument/2006/relationships/chart" Target="charts/chart3.xm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header" Target="header3.xml"/><Relationship Id="rId11" Type="http://schemas.openxmlformats.org/officeDocument/2006/relationships/footer" Target="footer1.xml"/><Relationship Id="rId12" Type="http://schemas.openxmlformats.org/officeDocument/2006/relationships/footer" Target="footer2.xml"/><Relationship Id="rId13" Type="http://schemas.openxmlformats.org/officeDocument/2006/relationships/footer" Target="footer3.xml"/><Relationship Id="rId14" Type="http://schemas.openxmlformats.org/officeDocument/2006/relationships/numbering" Target="numbering.xml"/><Relationship Id="rId15" Type="http://schemas.openxmlformats.org/officeDocument/2006/relationships/fontTable" Target="fontTable.xml"/><Relationship Id="rId16" Type="http://schemas.openxmlformats.org/officeDocument/2006/relationships/settings" Target="settings.xml"/><Relationship Id="rId17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wmf"/>
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title>
      <c:tx>
        <c:rich>
          <a:bodyPr rot="0"/>
          <a:lstStyle/>
          <a:p>
            <a:pPr>
              <a:defRPr b="0" sz="1300" strike="noStrike" u="none">
                <a:uFillTx/>
                <a:latin typeface="Arial"/>
              </a:defRPr>
            </a:pPr>
            <a:r>
              <a:rPr b="0" sz="1800" strike="noStrike" u="none">
                <a:solidFill>
                  <a:srgbClr val="595959"/>
                </a:solidFill>
                <a:uFillTx/>
                <a:latin typeface="Calibri"/>
              </a:rPr>
              <a:t>Quantidade de manifestações por mês</a:t>
            </a:r>
          </a:p>
        </c:rich>
      </c:tx>
      <c:overlay val="0"/>
      <c:spPr>
        <a:noFill/>
        <a:ln w="0">
          <a:noFill/>
        </a:ln>
      </c:spPr>
    </c:title>
    <c:autoTitleDeleted val="0"/>
    <c:plotArea>
      <c:barChart>
        <c:barDir val="col"/>
        <c:grouping val="cluster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Quantidade de manifestações por mês</c:v>
                </c:pt>
              </c:strCache>
            </c:strRef>
          </c:tx>
          <c:spPr>
            <a:gradFill>
              <a:gsLst>
                <a:gs pos="0">
                  <a:srgbClr val="4472c4"/>
                </a:gs>
                <a:gs pos="100000">
                  <a:srgbClr val="355fa9"/>
                </a:gs>
              </a:gsLst>
              <a:lin ang="5400000"/>
            </a:gradFill>
            <a:ln w="0">
              <a:noFill/>
            </a:ln>
          </c:spPr>
          <c:invertIfNegative val="0"/>
          <c:dLbls>
            <c:numFmt formatCode="General" sourceLinked="0"/>
            <c:txPr>
              <a:bodyPr wrap="square"/>
              <a:lstStyle/>
              <a:p>
                <a:pPr>
                  <a:defRPr b="1" sz="1000" strike="noStrike" u="none">
                    <a:solidFill>
                      <a:srgbClr val="ffffff"/>
                    </a:solidFill>
                    <a:uFillTx/>
                    <a:latin typeface="Calibri"/>
                  </a:defRPr>
                </a:pPr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eparator>; </c:separator>
            <c:showLeaderLines val="1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12"/>
                <c:pt idx="0">
                  <c:v>janeiro</c:v>
                </c:pt>
                <c:pt idx="1">
                  <c:v>fevereiro</c:v>
                </c:pt>
                <c:pt idx="2">
                  <c:v>março</c:v>
                </c:pt>
                <c:pt idx="3">
                  <c:v>abril</c:v>
                </c:pt>
                <c:pt idx="4">
                  <c:v>maio</c:v>
                </c:pt>
                <c:pt idx="5">
                  <c:v>junho</c:v>
                </c:pt>
                <c:pt idx="6">
                  <c:v>julho</c:v>
                </c:pt>
                <c:pt idx="7">
                  <c:v>agosto</c:v>
                </c:pt>
                <c:pt idx="8">
                  <c:v>setembro</c:v>
                </c:pt>
                <c:pt idx="9">
                  <c:v>outubro</c:v>
                </c:pt>
                <c:pt idx="10">
                  <c:v>novembro</c:v>
                </c:pt>
                <c:pt idx="11">
                  <c:v>dezembro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12"/>
                <c:pt idx="0">
                  <c:v>149</c:v>
                </c:pt>
                <c:pt idx="1">
                  <c:v>113</c:v>
                </c:pt>
                <c:pt idx="2">
                  <c:v>162</c:v>
                </c:pt>
                <c:pt idx="3">
                  <c:v>116</c:v>
                </c:pt>
                <c:pt idx="4">
                  <c:v>121</c:v>
                </c:pt>
                <c:pt idx="5">
                  <c:v>91</c:v>
                </c:pt>
                <c:pt idx="6">
                  <c:v>111</c:v>
                </c:pt>
                <c:pt idx="7">
                  <c:v>101</c:v>
                </c:pt>
                <c:pt idx="8">
                  <c:v>119</c:v>
                </c:pt>
                <c:pt idx="9">
                  <c:v>106</c:v>
                </c:pt>
                <c:pt idx="10">
                  <c:v>124</c:v>
                </c:pt>
                <c:pt idx="11">
                  <c:v>165</c:v>
                </c:pt>
              </c:numCache>
            </c:numRef>
          </c:val>
        </c:ser>
        <c:gapWidth val="41"/>
        <c:overlap val="0"/>
        <c:axId val="67131245"/>
        <c:axId val="45500943"/>
      </c:barChart>
      <c:catAx>
        <c:axId val="67131245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spPr>
          <a:ln w="6480">
            <a:noFill/>
          </a:ln>
        </c:spPr>
        <c:txPr>
          <a:bodyPr/>
          <a:lstStyle/>
          <a:p>
            <a:pPr>
              <a:defRPr b="0" sz="900" strike="noStrike" u="none">
                <a:solidFill>
                  <a:srgbClr val="595959"/>
                </a:solidFill>
                <a:uFillTx/>
                <a:latin typeface="Calibri"/>
              </a:defRPr>
            </a:pPr>
          </a:p>
        </c:txPr>
        <c:crossAx val="45500943"/>
        <c:crosses val="autoZero"/>
        <c:auto val="1"/>
        <c:lblAlgn val="ctr"/>
        <c:lblOffset val="100"/>
        <c:noMultiLvlLbl val="0"/>
      </c:catAx>
      <c:valAx>
        <c:axId val="45500943"/>
        <c:scaling>
          <c:orientation val="minMax"/>
        </c:scaling>
        <c:delete val="1"/>
        <c:axPos val="l"/>
        <c:numFmt formatCode="General" sourceLinked="1"/>
        <c:majorTickMark val="none"/>
        <c:minorTickMark val="none"/>
        <c:tickLblPos val="nextTo"/>
        <c:spPr>
          <a:ln w="6480">
            <a:solidFill>
              <a:srgbClr val="8b8b8b"/>
            </a:solidFill>
            <a:round/>
          </a:ln>
        </c:spPr>
        <c:txPr>
          <a:bodyPr/>
          <a:lstStyle/>
          <a:p>
            <a:pPr>
              <a:defRPr b="0" sz="1000" strike="noStrike" u="none">
                <a:solidFill>
                  <a:srgbClr val="000000"/>
                </a:solidFill>
                <a:uFillTx/>
                <a:latin typeface="Calibri"/>
              </a:defRPr>
            </a:pPr>
          </a:p>
        </c:txPr>
        <c:crossAx val="67131245"/>
        <c:crossBetween val="between"/>
      </c:valAx>
      <c:spPr>
        <a:noFill/>
        <a:ln w="0">
          <a:noFill/>
        </a:ln>
      </c:spPr>
    </c:plotArea>
    <c:plotVisOnly val="1"/>
    <c:dispBlanksAs val="gap"/>
  </c:chart>
  <c:spPr>
    <a:gradFill>
      <a:gsLst>
        <a:gs pos="0">
          <a:srgbClr val="ffffff"/>
        </a:gs>
        <a:gs pos="68000">
          <a:srgbClr val="d9d9d9"/>
        </a:gs>
        <a:gs pos="100000">
          <a:srgbClr val="ffffff"/>
        </a:gs>
      </a:gsLst>
      <a:lin ang="5400000"/>
    </a:gradFill>
    <a:ln w="9360">
      <a:solidFill>
        <a:srgbClr val="d9d9d9"/>
      </a:solidFill>
      <a:round/>
    </a:ln>
  </c:spPr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title>
      <c:tx>
        <c:rich>
          <a:bodyPr rot="0"/>
          <a:lstStyle/>
          <a:p>
            <a:pPr>
              <a:defRPr b="0" sz="1300" strike="noStrike" u="none">
                <a:uFillTx/>
                <a:latin typeface="Arial"/>
              </a:defRPr>
            </a:pPr>
            <a:r>
              <a:rPr b="0" sz="1400" strike="noStrike" u="none">
                <a:solidFill>
                  <a:srgbClr val="595959"/>
                </a:solidFill>
                <a:uFillTx/>
                <a:latin typeface="Calibri"/>
              </a:rPr>
              <a:t>Respostas dos Pedidos de Acesso à Informação</a:t>
            </a:r>
          </a:p>
        </c:rich>
      </c:tx>
      <c:overlay val="0"/>
      <c:spPr>
        <a:noFill/>
        <a:ln w="0">
          <a:noFill/>
        </a:ln>
      </c:spPr>
    </c:title>
    <c:autoTitleDeleted val="0"/>
    <c:view3D>
      <c:rotX val="30"/>
      <c:rotY val="0"/>
      <c:rAngAx val="0"/>
      <c:perspective val="30"/>
    </c:view3D>
    <c:floor>
      <c:spPr>
        <a:solidFill>
          <a:srgbClr val="d9d9d9"/>
        </a:solidFill>
        <a:ln w="0">
          <a:noFill/>
        </a:ln>
      </c:spPr>
    </c:floor>
    <c:sideWall>
      <c:spPr>
        <a:solidFill>
          <a:srgbClr val="d9d9d9"/>
        </a:solidFill>
        <a:ln w="0">
          <a:noFill/>
        </a:ln>
      </c:spPr>
    </c:sideWall>
    <c:backWall>
      <c:spPr>
        <a:solidFill>
          <a:srgbClr val="d9d9d9"/>
        </a:solidFill>
        <a:ln w="0">
          <a:noFill/>
        </a:ln>
      </c:spPr>
    </c:backWall>
    <c:plotArea>
      <c:layout>
        <c:manualLayout>
          <c:layoutTarget val="inner"/>
          <c:xMode val="edge"/>
          <c:yMode val="edge"/>
          <c:x val="0.173625"/>
          <c:y val="0.379333333333333"/>
          <c:w val="0.6555625"/>
          <c:h val="0.537777777777778"/>
        </c:manualLayout>
      </c:layout>
      <c:pie3DChart>
        <c:varyColors val="1"/>
        <c:ser>
          <c:idx val="0"/>
          <c:order val="0"/>
          <c:tx>
            <c:strRef>
              <c:f>label 0</c:f>
              <c:strCache>
                <c:ptCount val="1"/>
                <c:pt idx="0">
                  <c:v>Respostas dos Pedidos de Acesso à Informação</c:v>
                </c:pt>
              </c:strCache>
            </c:strRef>
          </c:tx>
          <c:spPr>
            <a:solidFill>
              <a:srgbClr val="4472c4"/>
            </a:solidFill>
            <a:ln w="0">
              <a:noFill/>
            </a:ln>
          </c:spPr>
          <c:explosion val="0"/>
          <c:dPt>
            <c:idx val="0"/>
            <c:spPr>
              <a:solidFill>
                <a:srgbClr val="4472c4"/>
              </a:solidFill>
              <a:ln w="25560">
                <a:solidFill>
                  <a:srgbClr val="ffffff"/>
                </a:solidFill>
                <a:round/>
              </a:ln>
            </c:spPr>
          </c:dPt>
          <c:dPt>
            <c:idx val="1"/>
            <c:spPr>
              <a:solidFill>
                <a:srgbClr val="ed7d31"/>
              </a:solidFill>
              <a:ln w="25560">
                <a:solidFill>
                  <a:srgbClr val="ffffff"/>
                </a:solidFill>
                <a:round/>
              </a:ln>
            </c:spPr>
          </c:dPt>
          <c:dPt>
            <c:idx val="2"/>
            <c:spPr>
              <a:solidFill>
                <a:srgbClr val="a5a5a5"/>
              </a:solidFill>
              <a:ln w="25560">
                <a:solidFill>
                  <a:srgbClr val="ffffff"/>
                </a:solidFill>
                <a:round/>
              </a:ln>
            </c:spPr>
          </c:dPt>
          <c:dPt>
            <c:idx val="3"/>
            <c:spPr>
              <a:solidFill>
                <a:srgbClr val="ffc000"/>
              </a:solidFill>
              <a:ln w="25560">
                <a:solidFill>
                  <a:srgbClr val="ffffff"/>
                </a:solidFill>
                <a:round/>
              </a:ln>
            </c:spPr>
          </c:dPt>
          <c:dPt>
            <c:idx val="4"/>
            <c:spPr>
              <a:solidFill>
                <a:srgbClr val="5b9bd5"/>
              </a:solidFill>
              <a:ln w="25560">
                <a:solidFill>
                  <a:srgbClr val="ffffff"/>
                </a:solidFill>
                <a:round/>
              </a:ln>
            </c:spPr>
          </c:dPt>
          <c:dLbls>
            <c:dLbl>
              <c:idx val="0"/>
              <c:layout>
                <c:manualLayout>
                  <c:x val="-0.10013801399825"/>
                  <c:y val="-0.0747736220472441"/>
                </c:manualLayout>
              </c:layout>
              <c:txPr>
                <a:bodyPr wrap="square"/>
                <a:lstStyle/>
                <a:p>
                  <a:pPr>
                    <a:defRPr b="0" sz="900" strike="noStrike" u="none">
                      <a:solidFill>
                        <a:srgbClr val="404040"/>
                      </a:solidFill>
                      <a:uFillTx/>
                      <a:latin typeface="Calibri"/>
                    </a:defRPr>
                  </a:pPr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eparator>
</c:separator>
            </c:dLbl>
            <c:dLbl>
              <c:idx val="1"/>
              <c:layout>
                <c:manualLayout>
                  <c:x val="0.0502820428696413"/>
                  <c:y val="-0.0160454943132109"/>
                </c:manualLayout>
              </c:layout>
              <c:txPr>
                <a:bodyPr wrap="square"/>
                <a:lstStyle/>
                <a:p>
                  <a:pPr>
                    <a:defRPr b="0" sz="900" strike="noStrike" u="none">
                      <a:solidFill>
                        <a:srgbClr val="404040"/>
                      </a:solidFill>
                      <a:uFillTx/>
                      <a:latin typeface="Calibri"/>
                    </a:defRPr>
                  </a:pPr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eparator>
</c:separator>
            </c:dLbl>
            <c:dLbl>
              <c:idx val="2"/>
              <c:layout>
                <c:manualLayout>
                  <c:x val="-0.326153105861767"/>
                  <c:y val="-0.0224165208515602"/>
                </c:manualLayout>
              </c:layout>
              <c:txPr>
                <a:bodyPr wrap="square"/>
                <a:lstStyle/>
                <a:p>
                  <a:pPr>
                    <a:defRPr b="0" sz="900" strike="noStrike" u="none">
                      <a:solidFill>
                        <a:srgbClr val="404040"/>
                      </a:solidFill>
                      <a:uFillTx/>
                      <a:latin typeface="Calibri"/>
                    </a:defRPr>
                  </a:pPr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eparator>
</c:separator>
            </c:dLbl>
            <c:dLbl>
              <c:idx val="3"/>
              <c:layout>
                <c:manualLayout>
                  <c:x val="0.160573272090989"/>
                  <c:y val="0.0735367454068241"/>
                </c:manualLayout>
              </c:layout>
              <c:txPr>
                <a:bodyPr wrap="square"/>
                <a:lstStyle/>
                <a:p>
                  <a:pPr>
                    <a:defRPr b="0" sz="900" strike="noStrike" u="none">
                      <a:solidFill>
                        <a:srgbClr val="404040"/>
                      </a:solidFill>
                      <a:uFillTx/>
                      <a:latin typeface="Calibri"/>
                    </a:defRPr>
                  </a:pPr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eparator>
</c:separator>
            </c:dLbl>
            <c:dLbl>
              <c:idx val="4"/>
              <c:layout>
                <c:manualLayout>
                  <c:x val="-0.157686023622047"/>
                  <c:y val="-0.0245833333333334"/>
                </c:manualLayout>
              </c:layout>
              <c:txPr>
                <a:bodyPr wrap="square"/>
                <a:lstStyle/>
                <a:p>
                  <a:pPr>
                    <a:defRPr b="0" sz="900" strike="noStrike" u="none">
                      <a:solidFill>
                        <a:srgbClr val="404040"/>
                      </a:solidFill>
                      <a:uFillTx/>
                      <a:latin typeface="Calibri"/>
                    </a:defRPr>
                  </a:pPr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eparator>
</c:separator>
            </c:dLbl>
            <c:txPr>
              <a:bodyPr wrap="square"/>
              <a:lstStyle/>
              <a:p>
                <a:pPr>
                  <a:defRPr b="0" sz="900" strike="noStrike" u="none">
                    <a:solidFill>
                      <a:srgbClr val="404040"/>
                    </a:solidFill>
                    <a:uFillTx/>
                    <a:latin typeface="Calibri"/>
                  </a:defRPr>
                </a:pPr>
              </a:p>
            </c:txPr>
            <c:dLblPos val="bestFit"/>
            <c:showLegendKey val="0"/>
            <c:showVal val="0"/>
            <c:showCatName val="1"/>
            <c:showSerName val="0"/>
            <c:showPercent val="1"/>
            <c:separator>
</c:separator>
            <c:showLeaderLines val="1"/>
            <c:leaderLines>
              <c:spPr>
                <a:ln>
                  <a:solidFill>
                    <a:srgbClr val="a6a6a6"/>
                  </a:solidFill>
                </a:ln>
              </c:spPr>
            </c:leaderLines>
          </c:dLbls>
          <c:cat>
            <c:strRef>
              <c:f>categories</c:f>
              <c:strCache>
                <c:ptCount val="5"/>
                <c:pt idx="0">
                  <c:v>Pedidos não atendidos</c:v>
                </c:pt>
                <c:pt idx="1">
                  <c:v>Pedido não respondido pelo órgão</c:v>
                </c:pt>
                <c:pt idx="2">
                  <c:v>Pedidos negados</c:v>
                </c:pt>
                <c:pt idx="3">
                  <c:v>Pedidos parcialmente atendidos</c:v>
                </c:pt>
                <c:pt idx="4">
                  <c:v>Pedidos totalmente atendidos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5"/>
                <c:pt idx="0">
                  <c:v>79</c:v>
                </c:pt>
                <c:pt idx="1">
                  <c:v>2</c:v>
                </c:pt>
                <c:pt idx="2">
                  <c:v>20</c:v>
                </c:pt>
                <c:pt idx="3">
                  <c:v>35</c:v>
                </c:pt>
                <c:pt idx="4">
                  <c:v>1342</c:v>
                </c:pt>
              </c:numCache>
            </c:numRef>
          </c:val>
        </c:ser>
      </c:pie3DChart>
    </c:plotArea>
    <c:plotVisOnly val="1"/>
    <c:dispBlanksAs val="gap"/>
  </c:chart>
  <c:spPr>
    <a:solidFill>
      <a:srgbClr val="ffffff"/>
    </a:solidFill>
    <a:ln w="9360">
      <a:solidFill>
        <a:srgbClr val="d9d9d9"/>
      </a:solidFill>
      <a:round/>
    </a:ln>
  </c:spPr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title>
      <c:tx>
        <c:rich>
          <a:bodyPr rot="0"/>
          <a:lstStyle/>
          <a:p>
            <a:pPr>
              <a:defRPr b="0" sz="1300" strike="noStrike" u="none">
                <a:uFillTx/>
                <a:latin typeface="Arial"/>
              </a:defRPr>
            </a:pPr>
            <a:r>
              <a:rPr b="0" sz="1800" strike="noStrike" u="none">
                <a:solidFill>
                  <a:srgbClr val="595959"/>
                </a:solidFill>
                <a:uFillTx/>
                <a:latin typeface="Calibri"/>
              </a:rPr>
              <a:t>Quantidade de manifestações por mês</a:t>
            </a:r>
          </a:p>
        </c:rich>
      </c:tx>
      <c:overlay val="0"/>
      <c:spPr>
        <a:noFill/>
        <a:ln w="0">
          <a:noFill/>
        </a:ln>
      </c:spPr>
    </c:title>
    <c:autoTitleDeleted val="0"/>
    <c:plotArea>
      <c:barChart>
        <c:barDir val="col"/>
        <c:grouping val="cluster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Quantidade de manifestações por mês</c:v>
                </c:pt>
              </c:strCache>
            </c:strRef>
          </c:tx>
          <c:spPr>
            <a:gradFill>
              <a:gsLst>
                <a:gs pos="0">
                  <a:srgbClr val="4472c4"/>
                </a:gs>
                <a:gs pos="100000">
                  <a:srgbClr val="355fa9"/>
                </a:gs>
              </a:gsLst>
              <a:lin ang="5400000"/>
            </a:gradFill>
            <a:ln w="0">
              <a:noFill/>
            </a:ln>
          </c:spPr>
          <c:invertIfNegative val="0"/>
          <c:dLbls>
            <c:numFmt formatCode="General" sourceLinked="0"/>
            <c:txPr>
              <a:bodyPr wrap="square"/>
              <a:lstStyle/>
              <a:p>
                <a:pPr>
                  <a:defRPr b="1" sz="1000" strike="noStrike" u="none">
                    <a:solidFill>
                      <a:srgbClr val="ffffff"/>
                    </a:solidFill>
                    <a:uFillTx/>
                    <a:latin typeface="Calibri"/>
                  </a:defRPr>
                </a:pPr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eparator>; </c:separator>
            <c:showLeaderLines val="1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12"/>
                <c:pt idx="0">
                  <c:v>JANEIRO</c:v>
                </c:pt>
                <c:pt idx="1">
                  <c:v>FEVEREIRO</c:v>
                </c:pt>
                <c:pt idx="2">
                  <c:v>MARÇO</c:v>
                </c:pt>
                <c:pt idx="3">
                  <c:v>ABRIL</c:v>
                </c:pt>
                <c:pt idx="4">
                  <c:v>MAIO</c:v>
                </c:pt>
                <c:pt idx="5">
                  <c:v>JUNHO</c:v>
                </c:pt>
                <c:pt idx="6">
                  <c:v>JULHO</c:v>
                </c:pt>
                <c:pt idx="7">
                  <c:v>AGOSTO</c:v>
                </c:pt>
                <c:pt idx="8">
                  <c:v>SETEMBRO</c:v>
                </c:pt>
                <c:pt idx="9">
                  <c:v>OUTUBRO</c:v>
                </c:pt>
                <c:pt idx="10">
                  <c:v>NOVEMBRO</c:v>
                </c:pt>
                <c:pt idx="11">
                  <c:v>DEZEMBRO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12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0</c:v>
                </c:pt>
                <c:pt idx="4">
                  <c:v>2</c:v>
                </c:pt>
                <c:pt idx="5">
                  <c:v>0</c:v>
                </c:pt>
                <c:pt idx="6">
                  <c:v>1</c:v>
                </c:pt>
                <c:pt idx="7">
                  <c:v>3</c:v>
                </c:pt>
                <c:pt idx="8">
                  <c:v>2</c:v>
                </c:pt>
                <c:pt idx="9">
                  <c:v>1</c:v>
                </c:pt>
                <c:pt idx="10">
                  <c:v>2</c:v>
                </c:pt>
                <c:pt idx="11">
                  <c:v>3</c:v>
                </c:pt>
              </c:numCache>
            </c:numRef>
          </c:val>
        </c:ser>
        <c:gapWidth val="41"/>
        <c:overlap val="0"/>
        <c:axId val="34411307"/>
        <c:axId val="42623813"/>
      </c:barChart>
      <c:catAx>
        <c:axId val="34411307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spPr>
          <a:ln w="6480">
            <a:noFill/>
          </a:ln>
        </c:spPr>
        <c:txPr>
          <a:bodyPr/>
          <a:lstStyle/>
          <a:p>
            <a:pPr>
              <a:defRPr b="0" sz="900" strike="noStrike" u="none">
                <a:solidFill>
                  <a:srgbClr val="595959"/>
                </a:solidFill>
                <a:uFillTx/>
                <a:latin typeface="Calibri"/>
              </a:defRPr>
            </a:pPr>
          </a:p>
        </c:txPr>
        <c:crossAx val="42623813"/>
        <c:crosses val="autoZero"/>
        <c:auto val="1"/>
        <c:lblAlgn val="ctr"/>
        <c:lblOffset val="100"/>
        <c:noMultiLvlLbl val="0"/>
      </c:catAx>
      <c:valAx>
        <c:axId val="42623813"/>
        <c:scaling>
          <c:orientation val="minMax"/>
        </c:scaling>
        <c:delete val="1"/>
        <c:axPos val="l"/>
        <c:numFmt formatCode="General" sourceLinked="1"/>
        <c:majorTickMark val="none"/>
        <c:minorTickMark val="none"/>
        <c:tickLblPos val="nextTo"/>
        <c:spPr>
          <a:ln w="6480">
            <a:solidFill>
              <a:srgbClr val="8b8b8b"/>
            </a:solidFill>
            <a:round/>
          </a:ln>
        </c:spPr>
        <c:txPr>
          <a:bodyPr/>
          <a:lstStyle/>
          <a:p>
            <a:pPr>
              <a:defRPr b="0" sz="1000" strike="noStrike" u="none">
                <a:solidFill>
                  <a:srgbClr val="000000"/>
                </a:solidFill>
                <a:uFillTx/>
                <a:latin typeface="Calibri"/>
              </a:defRPr>
            </a:pPr>
          </a:p>
        </c:txPr>
        <c:crossAx val="34411307"/>
        <c:crossBetween val="between"/>
      </c:valAx>
      <c:spPr>
        <a:noFill/>
        <a:ln w="0">
          <a:noFill/>
        </a:ln>
      </c:spPr>
    </c:plotArea>
    <c:plotVisOnly val="1"/>
    <c:dispBlanksAs val="gap"/>
  </c:chart>
  <c:spPr>
    <a:gradFill>
      <a:gsLst>
        <a:gs pos="0">
          <a:srgbClr val="ffffff"/>
        </a:gs>
        <a:gs pos="68000">
          <a:srgbClr val="d9d9d9"/>
        </a:gs>
        <a:gs pos="100000">
          <a:srgbClr val="ffffff"/>
        </a:gs>
      </a:gsLst>
      <a:lin ang="5400000"/>
    </a:gradFill>
    <a:ln w="9360">
      <a:solidFill>
        <a:srgbClr val="d9d9d9"/>
      </a:solidFill>
      <a:round/>
    </a:ln>
  </c:spPr>
</c:chartSpace>
</file>

<file path=word/theme/theme1.xml><?xml version="1.0" encoding="utf-8"?>
<a:theme xmlns:a="http://schemas.openxmlformats.org/drawingml/2006/main" xmlns:r="http://schemas.openxmlformats.org/officeDocument/2006/relationships" name="Tema do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Application>LibreOffice/24.8.6.2$Windows_X86_64 LibreOffice_project/6d98ba145e9a8a39fc57bcc76981d1fb1316c60c</Application>
  <AppVersion>15.0000</AppVersion>
  <Pages>14</Pages>
  <Words>2980</Words>
  <Characters>17856</Characters>
  <CharactersWithSpaces>20545</CharactersWithSpaces>
  <Paragraphs>285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2026-03-30T18:23:00Z</dcterms:created>
  <dc:creator>Alexsandra Carla da Vanco - matr 14.282-4</dc:creator>
  <dc:description/>
  <dc:language>pt-BR</dc:language>
  <cp:lastModifiedBy/>
  <dcterms:modified xsi:type="dcterms:W3CDTF">2026-04-30T13:20:05Z</dcterms:modified>
  <cp:revision>46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